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5746A" w:rsidRPr="00BF790C" w:rsidRDefault="0045746A" w:rsidP="001F00BE">
      <w:pPr>
        <w:pStyle w:val="NormalWeb"/>
        <w:spacing w:before="0" w:beforeAutospacing="0" w:after="0" w:afterAutospacing="0" w:line="480" w:lineRule="auto"/>
        <w:jc w:val="both"/>
        <w:rPr>
          <w:rFonts w:ascii="Times New Roman" w:hAnsi="Times New Roman" w:cs="Times New Roman"/>
          <w:bCs/>
          <w:sz w:val="24"/>
          <w:szCs w:val="24"/>
          <w:u w:val="single"/>
        </w:rPr>
      </w:pPr>
      <w:r w:rsidRPr="00BF790C">
        <w:rPr>
          <w:rFonts w:ascii="Times New Roman" w:hAnsi="Times New Roman" w:cs="Times New Roman"/>
          <w:bCs/>
          <w:sz w:val="24"/>
          <w:szCs w:val="24"/>
          <w:u w:val="single"/>
        </w:rPr>
        <w:t xml:space="preserve">Explaining the </w:t>
      </w:r>
      <w:r w:rsidR="003973B9" w:rsidRPr="00BF790C">
        <w:rPr>
          <w:rFonts w:ascii="Times New Roman" w:hAnsi="Times New Roman" w:cs="Times New Roman"/>
          <w:bCs/>
          <w:sz w:val="24"/>
          <w:szCs w:val="24"/>
          <w:u w:val="single"/>
        </w:rPr>
        <w:t xml:space="preserve">Decline </w:t>
      </w:r>
      <w:r w:rsidRPr="00BF790C">
        <w:rPr>
          <w:rFonts w:ascii="Times New Roman" w:hAnsi="Times New Roman" w:cs="Times New Roman"/>
          <w:bCs/>
          <w:sz w:val="24"/>
          <w:szCs w:val="24"/>
          <w:u w:val="single"/>
        </w:rPr>
        <w:t xml:space="preserve">in </w:t>
      </w:r>
      <w:r w:rsidR="00EA60AB" w:rsidRPr="00BF790C">
        <w:rPr>
          <w:rFonts w:ascii="Times New Roman" w:hAnsi="Times New Roman" w:cs="Times New Roman"/>
          <w:bCs/>
          <w:sz w:val="24"/>
          <w:szCs w:val="24"/>
          <w:u w:val="single"/>
        </w:rPr>
        <w:t xml:space="preserve">Retirement </w:t>
      </w:r>
      <w:r w:rsidR="004F0ACB">
        <w:rPr>
          <w:rFonts w:ascii="Times New Roman" w:hAnsi="Times New Roman" w:cs="Times New Roman"/>
          <w:bCs/>
          <w:sz w:val="24"/>
          <w:szCs w:val="24"/>
          <w:u w:val="single"/>
        </w:rPr>
        <w:t>Plan</w:t>
      </w:r>
      <w:r w:rsidR="004F0ACB" w:rsidRPr="00BF790C">
        <w:rPr>
          <w:rFonts w:ascii="Times New Roman" w:hAnsi="Times New Roman" w:cs="Times New Roman"/>
          <w:bCs/>
          <w:sz w:val="24"/>
          <w:szCs w:val="24"/>
          <w:u w:val="single"/>
        </w:rPr>
        <w:t xml:space="preserve"> </w:t>
      </w:r>
      <w:r w:rsidR="003973B9" w:rsidRPr="00BF790C">
        <w:rPr>
          <w:rFonts w:ascii="Times New Roman" w:hAnsi="Times New Roman" w:cs="Times New Roman"/>
          <w:bCs/>
          <w:sz w:val="24"/>
          <w:szCs w:val="24"/>
          <w:u w:val="single"/>
        </w:rPr>
        <w:t>Coverage</w:t>
      </w:r>
      <w:r w:rsidR="00DB08ED" w:rsidRPr="00BF790C">
        <w:rPr>
          <w:rFonts w:ascii="Times New Roman" w:hAnsi="Times New Roman" w:cs="Times New Roman"/>
          <w:bCs/>
          <w:sz w:val="24"/>
          <w:szCs w:val="24"/>
          <w:u w:val="single"/>
        </w:rPr>
        <w:t xml:space="preserve"> between 2001 – 2012 </w:t>
      </w:r>
    </w:p>
    <w:p w:rsidR="003973B9" w:rsidRPr="00BF790C" w:rsidRDefault="003973B9" w:rsidP="001F00BE">
      <w:pPr>
        <w:pStyle w:val="NormalWeb"/>
        <w:spacing w:before="0" w:beforeAutospacing="0" w:after="0" w:afterAutospacing="0" w:line="480" w:lineRule="auto"/>
        <w:ind w:firstLine="720"/>
        <w:jc w:val="center"/>
        <w:rPr>
          <w:rFonts w:ascii="Times New Roman" w:hAnsi="Times New Roman" w:cs="Times New Roman"/>
          <w:iCs/>
          <w:sz w:val="24"/>
          <w:szCs w:val="24"/>
        </w:rPr>
      </w:pPr>
    </w:p>
    <w:p w:rsidR="00DC4E1C" w:rsidRPr="00BF790C" w:rsidRDefault="00DC4E1C" w:rsidP="00DC4E1C">
      <w:pPr>
        <w:pStyle w:val="NormalWeb"/>
        <w:spacing w:before="0" w:beforeAutospacing="0" w:after="0" w:afterAutospacing="0" w:line="240" w:lineRule="auto"/>
        <w:ind w:firstLine="720"/>
        <w:jc w:val="center"/>
        <w:rPr>
          <w:rFonts w:ascii="Times New Roman" w:hAnsi="Times New Roman" w:cs="Times New Roman"/>
          <w:sz w:val="24"/>
          <w:szCs w:val="24"/>
        </w:rPr>
      </w:pPr>
      <w:r w:rsidRPr="00BF790C">
        <w:rPr>
          <w:rFonts w:ascii="Times New Roman" w:hAnsi="Times New Roman" w:cs="Times New Roman"/>
          <w:sz w:val="24"/>
          <w:szCs w:val="24"/>
        </w:rPr>
        <w:t xml:space="preserve">Teresa Ghilarducci and Joelle Saad-Lessler </w:t>
      </w:r>
      <w:r w:rsidRPr="00BF790C">
        <w:rPr>
          <w:rStyle w:val="FootnoteReference"/>
          <w:rFonts w:ascii="Times New Roman" w:hAnsi="Times New Roman" w:cs="Times New Roman"/>
          <w:sz w:val="24"/>
          <w:szCs w:val="24"/>
        </w:rPr>
        <w:footnoteReference w:id="1"/>
      </w:r>
    </w:p>
    <w:p w:rsidR="00DC4E1C" w:rsidRPr="00BF790C" w:rsidRDefault="00DC4E1C" w:rsidP="00DC4E1C">
      <w:pPr>
        <w:pStyle w:val="NormalWeb"/>
        <w:spacing w:before="0" w:beforeAutospacing="0" w:after="0" w:afterAutospacing="0" w:line="240" w:lineRule="auto"/>
        <w:ind w:firstLine="720"/>
        <w:jc w:val="center"/>
        <w:rPr>
          <w:rFonts w:ascii="Times New Roman" w:hAnsi="Times New Roman" w:cs="Times New Roman"/>
          <w:sz w:val="24"/>
          <w:szCs w:val="24"/>
        </w:rPr>
      </w:pPr>
    </w:p>
    <w:p w:rsidR="00DC4E1C" w:rsidRPr="00BF790C" w:rsidRDefault="00DC4E1C" w:rsidP="00DC4E1C">
      <w:pPr>
        <w:pStyle w:val="NormalWeb"/>
        <w:spacing w:before="0" w:beforeAutospacing="0" w:after="0" w:afterAutospacing="0" w:line="240" w:lineRule="auto"/>
        <w:ind w:firstLine="720"/>
        <w:jc w:val="center"/>
        <w:rPr>
          <w:rFonts w:ascii="Times New Roman" w:hAnsi="Times New Roman" w:cs="Times New Roman"/>
          <w:iCs/>
          <w:sz w:val="24"/>
          <w:szCs w:val="24"/>
        </w:rPr>
      </w:pPr>
      <w:r w:rsidRPr="00BF790C">
        <w:rPr>
          <w:rFonts w:ascii="Times New Roman" w:hAnsi="Times New Roman" w:cs="Times New Roman"/>
          <w:iCs/>
          <w:sz w:val="24"/>
          <w:szCs w:val="24"/>
        </w:rPr>
        <w:t>Department of Economics</w:t>
      </w:r>
    </w:p>
    <w:p w:rsidR="00DC4E1C" w:rsidRPr="00BF790C" w:rsidRDefault="00DC4E1C" w:rsidP="00DC4E1C">
      <w:pPr>
        <w:pStyle w:val="NormalWeb"/>
        <w:spacing w:before="0" w:beforeAutospacing="0" w:after="0" w:afterAutospacing="0" w:line="240" w:lineRule="auto"/>
        <w:ind w:firstLine="720"/>
        <w:jc w:val="center"/>
        <w:rPr>
          <w:rFonts w:ascii="Times New Roman" w:hAnsi="Times New Roman" w:cs="Times New Roman"/>
          <w:iCs/>
          <w:sz w:val="24"/>
          <w:szCs w:val="24"/>
        </w:rPr>
      </w:pPr>
      <w:r w:rsidRPr="00BF790C">
        <w:rPr>
          <w:rFonts w:ascii="Times New Roman" w:hAnsi="Times New Roman" w:cs="Times New Roman"/>
          <w:iCs/>
          <w:sz w:val="24"/>
          <w:szCs w:val="24"/>
        </w:rPr>
        <w:t>The New School for Social Research</w:t>
      </w:r>
    </w:p>
    <w:p w:rsidR="00DC4E1C" w:rsidRPr="00BF790C" w:rsidRDefault="00DC4E1C" w:rsidP="00DC4E1C">
      <w:pPr>
        <w:pStyle w:val="NormalWeb"/>
        <w:spacing w:before="0" w:beforeAutospacing="0" w:after="0" w:afterAutospacing="0" w:line="240" w:lineRule="auto"/>
        <w:ind w:firstLine="720"/>
        <w:jc w:val="center"/>
        <w:rPr>
          <w:rFonts w:ascii="Times New Roman" w:hAnsi="Times New Roman" w:cs="Times New Roman"/>
          <w:sz w:val="24"/>
          <w:szCs w:val="24"/>
        </w:rPr>
      </w:pPr>
    </w:p>
    <w:p w:rsidR="003973B9" w:rsidRPr="00BF790C" w:rsidRDefault="003973B9" w:rsidP="001F00BE">
      <w:pPr>
        <w:pStyle w:val="NormalWeb"/>
        <w:spacing w:before="0" w:beforeAutospacing="0" w:after="0" w:afterAutospacing="0" w:line="480" w:lineRule="auto"/>
        <w:ind w:firstLine="720"/>
        <w:jc w:val="center"/>
        <w:rPr>
          <w:rFonts w:ascii="Times New Roman" w:hAnsi="Times New Roman" w:cs="Times New Roman"/>
          <w:iCs/>
          <w:sz w:val="24"/>
          <w:szCs w:val="24"/>
        </w:rPr>
      </w:pPr>
    </w:p>
    <w:p w:rsidR="006D2F4D" w:rsidRPr="00BF790C" w:rsidRDefault="00BE1A6B" w:rsidP="001F00BE">
      <w:pPr>
        <w:pStyle w:val="Default"/>
        <w:spacing w:line="480" w:lineRule="auto"/>
        <w:jc w:val="center"/>
        <w:rPr>
          <w:b/>
        </w:rPr>
      </w:pPr>
      <w:r w:rsidRPr="00BF790C">
        <w:rPr>
          <w:b/>
        </w:rPr>
        <w:t>INTRODUCTION</w:t>
      </w:r>
    </w:p>
    <w:p w:rsidR="006D2F4D" w:rsidRPr="00BF790C" w:rsidRDefault="006D2F4D" w:rsidP="001F00BE">
      <w:pPr>
        <w:pStyle w:val="Default"/>
        <w:spacing w:line="480" w:lineRule="auto"/>
        <w:ind w:firstLine="720"/>
      </w:pPr>
    </w:p>
    <w:p w:rsidR="006D2F4D" w:rsidRPr="00BF790C" w:rsidRDefault="006D2F4D"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For workers trying to save for retirement, </w:t>
      </w:r>
      <w:r w:rsidR="0067523B" w:rsidRPr="00BF790C">
        <w:rPr>
          <w:rFonts w:ascii="Times New Roman" w:hAnsi="Times New Roman" w:cs="Times New Roman"/>
          <w:sz w:val="24"/>
          <w:szCs w:val="24"/>
        </w:rPr>
        <w:t>it</w:t>
      </w:r>
      <w:r w:rsidR="000D1EE1" w:rsidRPr="00BF790C">
        <w:rPr>
          <w:rFonts w:ascii="Times New Roman" w:hAnsi="Times New Roman" w:cs="Times New Roman"/>
          <w:sz w:val="24"/>
          <w:szCs w:val="24"/>
        </w:rPr>
        <w:t xml:space="preserve"> </w:t>
      </w:r>
      <w:r w:rsidRPr="00BF790C">
        <w:rPr>
          <w:rFonts w:ascii="Times New Roman" w:hAnsi="Times New Roman" w:cs="Times New Roman"/>
          <w:sz w:val="24"/>
          <w:szCs w:val="24"/>
        </w:rPr>
        <w:t xml:space="preserve">has never been worse. Using </w:t>
      </w:r>
      <w:r w:rsidR="000D1EE1" w:rsidRPr="00BF790C">
        <w:rPr>
          <w:rFonts w:ascii="Times New Roman" w:hAnsi="Times New Roman" w:cs="Times New Roman"/>
          <w:sz w:val="24"/>
          <w:szCs w:val="24"/>
        </w:rPr>
        <w:t xml:space="preserve">the </w:t>
      </w:r>
      <w:r w:rsidRPr="00BF790C">
        <w:rPr>
          <w:rFonts w:ascii="Times New Roman" w:hAnsi="Times New Roman" w:cs="Times New Roman"/>
          <w:sz w:val="24"/>
          <w:szCs w:val="24"/>
        </w:rPr>
        <w:t>CPS, we find that from 2001 through 2012, there was a dramatic drop in employer sponsorship of retirement plans</w:t>
      </w:r>
      <w:r w:rsidR="004F0ACB">
        <w:rPr>
          <w:rFonts w:ascii="Times New Roman" w:hAnsi="Times New Roman" w:cs="Times New Roman"/>
          <w:sz w:val="24"/>
          <w:szCs w:val="24"/>
        </w:rPr>
        <w:t xml:space="preserve"> – defined benefit and defined contribution</w:t>
      </w:r>
      <w:r w:rsidRPr="00BF790C">
        <w:rPr>
          <w:rFonts w:ascii="Times New Roman" w:hAnsi="Times New Roman" w:cs="Times New Roman"/>
          <w:sz w:val="24"/>
          <w:szCs w:val="24"/>
        </w:rPr>
        <w:t xml:space="preserve"> from 61% down to an all time historical low of 53%</w:t>
      </w:r>
      <w:r w:rsidR="0067523B" w:rsidRPr="00BF790C">
        <w:rPr>
          <w:rFonts w:ascii="Times New Roman" w:hAnsi="Times New Roman" w:cs="Times New Roman"/>
          <w:sz w:val="24"/>
          <w:szCs w:val="24"/>
        </w:rPr>
        <w:t>.</w:t>
      </w:r>
      <w:r w:rsidRPr="00BF790C">
        <w:rPr>
          <w:rFonts w:ascii="Times New Roman" w:hAnsi="Times New Roman" w:cs="Times New Roman"/>
          <w:sz w:val="24"/>
          <w:szCs w:val="24"/>
        </w:rPr>
        <w:t xml:space="preserve"> </w:t>
      </w:r>
      <w:r w:rsidR="000D1EE1" w:rsidRPr="00BF790C">
        <w:rPr>
          <w:rFonts w:ascii="Times New Roman" w:hAnsi="Times New Roman" w:cs="Times New Roman"/>
          <w:sz w:val="24"/>
          <w:szCs w:val="24"/>
        </w:rPr>
        <w:t xml:space="preserve">This is a reversal of </w:t>
      </w:r>
      <w:r w:rsidR="007125D3" w:rsidRPr="00BF790C">
        <w:rPr>
          <w:rFonts w:ascii="Times New Roman" w:hAnsi="Times New Roman" w:cs="Times New Roman"/>
          <w:sz w:val="24"/>
          <w:szCs w:val="24"/>
        </w:rPr>
        <w:t xml:space="preserve">recent </w:t>
      </w:r>
      <w:r w:rsidR="000D1EE1" w:rsidRPr="00BF790C">
        <w:rPr>
          <w:rFonts w:ascii="Times New Roman" w:hAnsi="Times New Roman" w:cs="Times New Roman"/>
          <w:sz w:val="24"/>
          <w:szCs w:val="24"/>
        </w:rPr>
        <w:t xml:space="preserve">optimistic </w:t>
      </w:r>
      <w:r w:rsidR="0067523B" w:rsidRPr="00BF790C">
        <w:rPr>
          <w:rFonts w:ascii="Times New Roman" w:hAnsi="Times New Roman" w:cs="Times New Roman"/>
          <w:sz w:val="24"/>
          <w:szCs w:val="24"/>
        </w:rPr>
        <w:t>trends;</w:t>
      </w:r>
      <w:r w:rsidRPr="00BF790C">
        <w:rPr>
          <w:rFonts w:ascii="Times New Roman" w:hAnsi="Times New Roman" w:cs="Times New Roman"/>
          <w:sz w:val="24"/>
          <w:szCs w:val="24"/>
        </w:rPr>
        <w:t xml:space="preserve"> </w:t>
      </w:r>
      <w:r w:rsidR="000D1EE1" w:rsidRPr="00BF790C">
        <w:rPr>
          <w:rFonts w:ascii="Times New Roman" w:hAnsi="Times New Roman" w:cs="Times New Roman"/>
          <w:sz w:val="24"/>
          <w:szCs w:val="24"/>
        </w:rPr>
        <w:t>b</w:t>
      </w:r>
      <w:r w:rsidRPr="00BF790C">
        <w:rPr>
          <w:rFonts w:ascii="Times New Roman" w:hAnsi="Times New Roman" w:cs="Times New Roman"/>
          <w:sz w:val="24"/>
          <w:szCs w:val="24"/>
        </w:rPr>
        <w:t>etween 1950 and 1979, retirement account sponsorship rates doubled from 25% to 50%</w:t>
      </w:r>
      <w:r w:rsidR="007125D3" w:rsidRPr="00BF790C">
        <w:rPr>
          <w:rFonts w:ascii="Times New Roman" w:hAnsi="Times New Roman" w:cs="Times New Roman"/>
          <w:sz w:val="24"/>
          <w:szCs w:val="24"/>
        </w:rPr>
        <w:t xml:space="preserve"> and </w:t>
      </w:r>
      <w:r w:rsidR="0067523B" w:rsidRPr="00BF790C">
        <w:rPr>
          <w:rFonts w:ascii="Times New Roman" w:hAnsi="Times New Roman" w:cs="Times New Roman"/>
          <w:sz w:val="24"/>
          <w:szCs w:val="24"/>
        </w:rPr>
        <w:t xml:space="preserve">then </w:t>
      </w:r>
      <w:r w:rsidR="007125D3" w:rsidRPr="00BF790C">
        <w:rPr>
          <w:rFonts w:ascii="Times New Roman" w:hAnsi="Times New Roman" w:cs="Times New Roman"/>
          <w:sz w:val="24"/>
          <w:szCs w:val="24"/>
        </w:rPr>
        <w:t xml:space="preserve">leveled off. </w:t>
      </w:r>
      <w:r w:rsidR="0067523B" w:rsidRPr="00BF790C">
        <w:rPr>
          <w:rFonts w:ascii="Times New Roman" w:hAnsi="Times New Roman" w:cs="Times New Roman"/>
          <w:sz w:val="24"/>
          <w:szCs w:val="24"/>
        </w:rPr>
        <w:t>But i</w:t>
      </w:r>
      <w:r w:rsidR="007125D3" w:rsidRPr="00BF790C">
        <w:rPr>
          <w:rFonts w:ascii="Times New Roman" w:hAnsi="Times New Roman" w:cs="Times New Roman"/>
          <w:sz w:val="24"/>
          <w:szCs w:val="24"/>
        </w:rPr>
        <w:t xml:space="preserve">n </w:t>
      </w:r>
      <w:r w:rsidRPr="00BF790C">
        <w:rPr>
          <w:rFonts w:ascii="Times New Roman" w:hAnsi="Times New Roman" w:cs="Times New Roman"/>
          <w:sz w:val="24"/>
          <w:szCs w:val="24"/>
        </w:rPr>
        <w:t>2001</w:t>
      </w:r>
      <w:r w:rsidR="0067523B" w:rsidRPr="00BF790C">
        <w:rPr>
          <w:rFonts w:ascii="Times New Roman" w:hAnsi="Times New Roman" w:cs="Times New Roman"/>
          <w:sz w:val="24"/>
          <w:szCs w:val="24"/>
        </w:rPr>
        <w:t>,</w:t>
      </w:r>
      <w:r w:rsidR="000D1EE1" w:rsidRPr="00BF790C">
        <w:rPr>
          <w:rFonts w:ascii="Times New Roman" w:hAnsi="Times New Roman" w:cs="Times New Roman"/>
          <w:sz w:val="24"/>
          <w:szCs w:val="24"/>
        </w:rPr>
        <w:t xml:space="preserve"> </w:t>
      </w:r>
      <w:r w:rsidR="007125D3" w:rsidRPr="00BF790C">
        <w:rPr>
          <w:rFonts w:ascii="Times New Roman" w:hAnsi="Times New Roman" w:cs="Times New Roman"/>
          <w:sz w:val="24"/>
          <w:szCs w:val="24"/>
        </w:rPr>
        <w:t xml:space="preserve">coverage rates began to fall </w:t>
      </w:r>
      <w:r w:rsidR="0067523B" w:rsidRPr="00BF790C">
        <w:rPr>
          <w:rFonts w:ascii="Times New Roman" w:hAnsi="Times New Roman" w:cs="Times New Roman"/>
          <w:sz w:val="24"/>
          <w:szCs w:val="24"/>
        </w:rPr>
        <w:t>steadily. A large</w:t>
      </w:r>
      <w:r w:rsidR="000D1EE1" w:rsidRPr="00BF790C">
        <w:rPr>
          <w:rFonts w:ascii="Times New Roman" w:hAnsi="Times New Roman" w:cs="Times New Roman"/>
          <w:sz w:val="24"/>
          <w:szCs w:val="24"/>
        </w:rPr>
        <w:t xml:space="preserve"> share of employees are not </w:t>
      </w:r>
      <w:r w:rsidR="007125D3" w:rsidRPr="00BF790C">
        <w:rPr>
          <w:rFonts w:ascii="Times New Roman" w:hAnsi="Times New Roman" w:cs="Times New Roman"/>
          <w:sz w:val="24"/>
          <w:szCs w:val="24"/>
        </w:rPr>
        <w:t xml:space="preserve">covered by </w:t>
      </w:r>
      <w:r w:rsidR="000D1EE1" w:rsidRPr="00BF790C">
        <w:rPr>
          <w:rFonts w:ascii="Times New Roman" w:hAnsi="Times New Roman" w:cs="Times New Roman"/>
          <w:sz w:val="24"/>
          <w:szCs w:val="24"/>
        </w:rPr>
        <w:t xml:space="preserve">any type of </w:t>
      </w:r>
      <w:r w:rsidRPr="00BF790C">
        <w:rPr>
          <w:rFonts w:ascii="Times New Roman" w:hAnsi="Times New Roman" w:cs="Times New Roman"/>
          <w:sz w:val="24"/>
          <w:szCs w:val="24"/>
        </w:rPr>
        <w:t xml:space="preserve">retirement account, </w:t>
      </w:r>
      <w:r w:rsidR="000D1EE1" w:rsidRPr="00BF790C">
        <w:rPr>
          <w:rFonts w:ascii="Times New Roman" w:hAnsi="Times New Roman" w:cs="Times New Roman"/>
          <w:sz w:val="24"/>
          <w:szCs w:val="24"/>
        </w:rPr>
        <w:t xml:space="preserve">neither a </w:t>
      </w:r>
      <w:r w:rsidRPr="00BF790C">
        <w:rPr>
          <w:rFonts w:ascii="Times New Roman" w:hAnsi="Times New Roman" w:cs="Times New Roman"/>
          <w:sz w:val="24"/>
          <w:szCs w:val="24"/>
        </w:rPr>
        <w:t>defined contribution or defined benefit</w:t>
      </w:r>
      <w:r w:rsidR="000D1EE1" w:rsidRPr="00BF790C">
        <w:rPr>
          <w:rFonts w:ascii="Times New Roman" w:hAnsi="Times New Roman" w:cs="Times New Roman"/>
          <w:sz w:val="24"/>
          <w:szCs w:val="24"/>
        </w:rPr>
        <w:t xml:space="preserve"> plan</w:t>
      </w:r>
      <w:r w:rsidRPr="00BF790C">
        <w:rPr>
          <w:rFonts w:ascii="Times New Roman" w:hAnsi="Times New Roman" w:cs="Times New Roman"/>
          <w:sz w:val="24"/>
          <w:szCs w:val="24"/>
        </w:rPr>
        <w:t xml:space="preserve">, </w:t>
      </w:r>
      <w:r w:rsidR="000D1EE1" w:rsidRPr="00BF790C">
        <w:rPr>
          <w:rFonts w:ascii="Times New Roman" w:hAnsi="Times New Roman" w:cs="Times New Roman"/>
          <w:sz w:val="24"/>
          <w:szCs w:val="24"/>
        </w:rPr>
        <w:t xml:space="preserve">which </w:t>
      </w:r>
      <w:r w:rsidRPr="00BF790C">
        <w:rPr>
          <w:rFonts w:ascii="Times New Roman" w:hAnsi="Times New Roman" w:cs="Times New Roman"/>
          <w:sz w:val="24"/>
          <w:szCs w:val="24"/>
        </w:rPr>
        <w:t>diminish</w:t>
      </w:r>
      <w:r w:rsidR="000D1EE1" w:rsidRPr="00BF790C">
        <w:rPr>
          <w:rFonts w:ascii="Times New Roman" w:hAnsi="Times New Roman" w:cs="Times New Roman"/>
          <w:sz w:val="24"/>
          <w:szCs w:val="24"/>
        </w:rPr>
        <w:t>es</w:t>
      </w:r>
      <w:r w:rsidRPr="00BF790C">
        <w:rPr>
          <w:rFonts w:ascii="Times New Roman" w:hAnsi="Times New Roman" w:cs="Times New Roman"/>
          <w:sz w:val="24"/>
          <w:szCs w:val="24"/>
        </w:rPr>
        <w:t xml:space="preserve"> </w:t>
      </w:r>
      <w:r w:rsidR="000D1EE1" w:rsidRPr="00BF790C">
        <w:rPr>
          <w:rFonts w:ascii="Times New Roman" w:hAnsi="Times New Roman" w:cs="Times New Roman"/>
          <w:sz w:val="24"/>
          <w:szCs w:val="24"/>
        </w:rPr>
        <w:t xml:space="preserve">the ability of individuals to save consistently for </w:t>
      </w:r>
      <w:r w:rsidRPr="00BF790C">
        <w:rPr>
          <w:rFonts w:ascii="Times New Roman" w:hAnsi="Times New Roman" w:cs="Times New Roman"/>
          <w:sz w:val="24"/>
          <w:szCs w:val="24"/>
        </w:rPr>
        <w:t xml:space="preserve">retirement </w:t>
      </w:r>
      <w:r w:rsidR="000D1EE1" w:rsidRPr="00BF790C">
        <w:rPr>
          <w:rFonts w:ascii="Times New Roman" w:hAnsi="Times New Roman" w:cs="Times New Roman"/>
          <w:sz w:val="24"/>
          <w:szCs w:val="24"/>
        </w:rPr>
        <w:t>and adequately supplement their Social Security benefits</w:t>
      </w:r>
      <w:r w:rsidRPr="00BF790C">
        <w:rPr>
          <w:rFonts w:ascii="Times New Roman" w:hAnsi="Times New Roman" w:cs="Times New Roman"/>
          <w:sz w:val="24"/>
          <w:szCs w:val="24"/>
        </w:rPr>
        <w:t xml:space="preserve">. </w:t>
      </w:r>
    </w:p>
    <w:p w:rsidR="006D2F4D" w:rsidRPr="00BF790C" w:rsidRDefault="006D2F4D"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The trends in employer sponsorship of retirement accounts varied significantly across states. Although the national average decline in sponsorship rates was 8 percentage points, Georgia </w:t>
      </w:r>
      <w:r w:rsidRPr="00BF790C">
        <w:rPr>
          <w:rFonts w:ascii="Times New Roman" w:hAnsi="Times New Roman" w:cs="Times New Roman"/>
          <w:sz w:val="24"/>
          <w:szCs w:val="24"/>
        </w:rPr>
        <w:lastRenderedPageBreak/>
        <w:t xml:space="preserve">experienced a 14.1 percentage point decline, while Oklahoma experienced a 2.5 percentage point increase in sponsorship rates. We utilize this state variation to investigate whether the retirement account bargaining environments, along with firm and worker characteristics, account for changes in sponsorship rates over time. </w:t>
      </w:r>
    </w:p>
    <w:p w:rsidR="006D2F4D" w:rsidRPr="00BF790C" w:rsidRDefault="006D2F4D"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Using a </w:t>
      </w:r>
      <w:proofErr w:type="spellStart"/>
      <w:r w:rsidRPr="00BF790C">
        <w:rPr>
          <w:rFonts w:ascii="Times New Roman" w:hAnsi="Times New Roman" w:cs="Times New Roman"/>
          <w:sz w:val="24"/>
          <w:szCs w:val="24"/>
        </w:rPr>
        <w:t>Probit</w:t>
      </w:r>
      <w:proofErr w:type="spellEnd"/>
      <w:r w:rsidRPr="00BF790C">
        <w:rPr>
          <w:rFonts w:ascii="Times New Roman" w:hAnsi="Times New Roman" w:cs="Times New Roman"/>
          <w:sz w:val="24"/>
          <w:szCs w:val="24"/>
        </w:rPr>
        <w:t xml:space="preserve"> model and an Oaxaca-Blinder threefold decomposition technique, we </w:t>
      </w:r>
      <w:r w:rsidR="00F721CC">
        <w:rPr>
          <w:rFonts w:ascii="Times New Roman" w:hAnsi="Times New Roman" w:cs="Times New Roman"/>
          <w:sz w:val="24"/>
          <w:szCs w:val="24"/>
        </w:rPr>
        <w:t>analyze whether</w:t>
      </w:r>
      <w:r w:rsidRPr="00BF790C">
        <w:rPr>
          <w:rFonts w:ascii="Times New Roman" w:hAnsi="Times New Roman" w:cs="Times New Roman"/>
          <w:sz w:val="24"/>
          <w:szCs w:val="24"/>
        </w:rPr>
        <w:t xml:space="preserve"> </w:t>
      </w:r>
      <w:r w:rsidR="00F721CC">
        <w:rPr>
          <w:rFonts w:ascii="Times New Roman" w:hAnsi="Times New Roman" w:cs="Times New Roman"/>
          <w:sz w:val="24"/>
          <w:szCs w:val="24"/>
        </w:rPr>
        <w:t xml:space="preserve">factors that affect </w:t>
      </w:r>
      <w:r w:rsidRPr="00BF790C">
        <w:rPr>
          <w:rFonts w:ascii="Times New Roman" w:hAnsi="Times New Roman" w:cs="Times New Roman"/>
          <w:sz w:val="24"/>
          <w:szCs w:val="24"/>
        </w:rPr>
        <w:t xml:space="preserve">the bargaining environment for </w:t>
      </w:r>
      <w:r w:rsidR="007125D3" w:rsidRPr="00BF790C">
        <w:rPr>
          <w:rFonts w:ascii="Times New Roman" w:hAnsi="Times New Roman" w:cs="Times New Roman"/>
          <w:sz w:val="24"/>
          <w:szCs w:val="24"/>
        </w:rPr>
        <w:t xml:space="preserve">employee </w:t>
      </w:r>
      <w:r w:rsidRPr="00BF790C">
        <w:rPr>
          <w:rFonts w:ascii="Times New Roman" w:hAnsi="Times New Roman" w:cs="Times New Roman"/>
          <w:sz w:val="24"/>
          <w:szCs w:val="24"/>
        </w:rPr>
        <w:t>benefits</w:t>
      </w:r>
      <w:r w:rsidR="00F721CC">
        <w:rPr>
          <w:rFonts w:ascii="Times New Roman" w:hAnsi="Times New Roman" w:cs="Times New Roman"/>
          <w:sz w:val="24"/>
          <w:szCs w:val="24"/>
        </w:rPr>
        <w:t>, such as</w:t>
      </w:r>
      <w:r w:rsidRPr="00BF790C">
        <w:rPr>
          <w:rFonts w:ascii="Times New Roman" w:hAnsi="Times New Roman" w:cs="Times New Roman"/>
          <w:sz w:val="24"/>
          <w:szCs w:val="24"/>
        </w:rPr>
        <w:t xml:space="preserve"> </w:t>
      </w:r>
      <w:r w:rsidR="00F721CC">
        <w:rPr>
          <w:rFonts w:ascii="Times New Roman" w:hAnsi="Times New Roman" w:cs="Times New Roman"/>
          <w:sz w:val="24"/>
          <w:szCs w:val="24"/>
        </w:rPr>
        <w:t>t</w:t>
      </w:r>
      <w:r w:rsidRPr="00BF790C">
        <w:rPr>
          <w:rFonts w:ascii="Times New Roman" w:hAnsi="Times New Roman" w:cs="Times New Roman"/>
          <w:sz w:val="24"/>
          <w:szCs w:val="24"/>
        </w:rPr>
        <w:t>he number of weeks a worker spent unemployed the previous year</w:t>
      </w:r>
      <w:r w:rsidR="007125D3" w:rsidRPr="00BF790C">
        <w:rPr>
          <w:rFonts w:ascii="Times New Roman" w:hAnsi="Times New Roman" w:cs="Times New Roman"/>
          <w:sz w:val="24"/>
          <w:szCs w:val="24"/>
        </w:rPr>
        <w:t>;</w:t>
      </w:r>
      <w:r w:rsidRPr="00BF790C">
        <w:rPr>
          <w:rFonts w:ascii="Times New Roman" w:hAnsi="Times New Roman" w:cs="Times New Roman"/>
          <w:sz w:val="24"/>
          <w:szCs w:val="24"/>
        </w:rPr>
        <w:t xml:space="preserve"> the </w:t>
      </w:r>
      <w:r w:rsidR="007125D3" w:rsidRPr="00BF790C">
        <w:rPr>
          <w:rFonts w:ascii="Times New Roman" w:hAnsi="Times New Roman" w:cs="Times New Roman"/>
          <w:sz w:val="24"/>
          <w:szCs w:val="24"/>
        </w:rPr>
        <w:t xml:space="preserve">level of income inequality in a state measured by the </w:t>
      </w:r>
      <w:r w:rsidRPr="00BF790C">
        <w:rPr>
          <w:rFonts w:ascii="Times New Roman" w:hAnsi="Times New Roman" w:cs="Times New Roman"/>
          <w:sz w:val="24"/>
          <w:szCs w:val="24"/>
        </w:rPr>
        <w:t xml:space="preserve">state’s household income </w:t>
      </w:r>
      <w:proofErr w:type="spellStart"/>
      <w:r w:rsidRPr="00BF790C">
        <w:rPr>
          <w:rFonts w:ascii="Times New Roman" w:hAnsi="Times New Roman" w:cs="Times New Roman"/>
          <w:sz w:val="24"/>
          <w:szCs w:val="24"/>
        </w:rPr>
        <w:t>Gini</w:t>
      </w:r>
      <w:proofErr w:type="spellEnd"/>
      <w:r w:rsidRPr="00BF790C">
        <w:rPr>
          <w:rFonts w:ascii="Times New Roman" w:hAnsi="Times New Roman" w:cs="Times New Roman"/>
          <w:sz w:val="24"/>
          <w:szCs w:val="24"/>
        </w:rPr>
        <w:t xml:space="preserve"> coefficient</w:t>
      </w:r>
      <w:r w:rsidR="007125D3" w:rsidRPr="00BF790C">
        <w:rPr>
          <w:rFonts w:ascii="Times New Roman" w:hAnsi="Times New Roman" w:cs="Times New Roman"/>
          <w:sz w:val="24"/>
          <w:szCs w:val="24"/>
        </w:rPr>
        <w:t>;</w:t>
      </w:r>
      <w:r w:rsidRPr="00BF790C">
        <w:rPr>
          <w:rFonts w:ascii="Times New Roman" w:hAnsi="Times New Roman" w:cs="Times New Roman"/>
          <w:sz w:val="24"/>
          <w:szCs w:val="24"/>
        </w:rPr>
        <w:t xml:space="preserve"> the state’s unionization rate</w:t>
      </w:r>
      <w:r w:rsidR="007125D3" w:rsidRPr="00BF790C">
        <w:rPr>
          <w:rFonts w:ascii="Times New Roman" w:hAnsi="Times New Roman" w:cs="Times New Roman"/>
          <w:sz w:val="24"/>
          <w:szCs w:val="24"/>
        </w:rPr>
        <w:t>;</w:t>
      </w:r>
      <w:r w:rsidRPr="00BF790C">
        <w:rPr>
          <w:rFonts w:ascii="Times New Roman" w:hAnsi="Times New Roman" w:cs="Times New Roman"/>
          <w:sz w:val="24"/>
          <w:szCs w:val="24"/>
        </w:rPr>
        <w:t xml:space="preserve"> and state level unemployment rates </w:t>
      </w:r>
      <w:r w:rsidR="007125D3" w:rsidRPr="00BF790C">
        <w:rPr>
          <w:rFonts w:ascii="Times New Roman" w:hAnsi="Times New Roman" w:cs="Times New Roman"/>
          <w:sz w:val="24"/>
          <w:szCs w:val="24"/>
        </w:rPr>
        <w:t xml:space="preserve">for each </w:t>
      </w:r>
      <w:r w:rsidRPr="00BF790C">
        <w:rPr>
          <w:rFonts w:ascii="Times New Roman" w:hAnsi="Times New Roman" w:cs="Times New Roman"/>
          <w:sz w:val="24"/>
          <w:szCs w:val="24"/>
        </w:rPr>
        <w:t xml:space="preserve">age group are significant determinants of retirement account sponsorship. We also </w:t>
      </w:r>
      <w:r w:rsidR="00F721CC">
        <w:rPr>
          <w:rFonts w:ascii="Times New Roman" w:hAnsi="Times New Roman" w:cs="Times New Roman"/>
          <w:sz w:val="24"/>
          <w:szCs w:val="24"/>
        </w:rPr>
        <w:t>research whether</w:t>
      </w:r>
      <w:r w:rsidRPr="00BF790C">
        <w:rPr>
          <w:rFonts w:ascii="Times New Roman" w:hAnsi="Times New Roman" w:cs="Times New Roman"/>
          <w:sz w:val="24"/>
          <w:szCs w:val="24"/>
        </w:rPr>
        <w:t xml:space="preserve"> </w:t>
      </w:r>
      <w:r w:rsidR="007125D3" w:rsidRPr="00BF790C">
        <w:rPr>
          <w:rFonts w:ascii="Times New Roman" w:hAnsi="Times New Roman" w:cs="Times New Roman"/>
          <w:sz w:val="24"/>
          <w:szCs w:val="24"/>
        </w:rPr>
        <w:t xml:space="preserve">geographical </w:t>
      </w:r>
      <w:r w:rsidRPr="00BF790C">
        <w:rPr>
          <w:rFonts w:ascii="Times New Roman" w:hAnsi="Times New Roman" w:cs="Times New Roman"/>
          <w:sz w:val="24"/>
          <w:szCs w:val="24"/>
        </w:rPr>
        <w:t xml:space="preserve">norms </w:t>
      </w:r>
      <w:r w:rsidR="007125D3" w:rsidRPr="00BF790C">
        <w:rPr>
          <w:rFonts w:ascii="Times New Roman" w:hAnsi="Times New Roman" w:cs="Times New Roman"/>
          <w:sz w:val="24"/>
          <w:szCs w:val="24"/>
        </w:rPr>
        <w:t>for employee benefit provision -- the fraction of the state’s population that</w:t>
      </w:r>
      <w:r w:rsidR="0067523B" w:rsidRPr="00BF790C">
        <w:rPr>
          <w:rFonts w:ascii="Times New Roman" w:hAnsi="Times New Roman" w:cs="Times New Roman"/>
          <w:sz w:val="24"/>
          <w:szCs w:val="24"/>
        </w:rPr>
        <w:t xml:space="preserve"> is young, educated, as well as</w:t>
      </w:r>
      <w:r w:rsidR="007125D3" w:rsidRPr="00BF790C">
        <w:rPr>
          <w:rFonts w:ascii="Times New Roman" w:hAnsi="Times New Roman" w:cs="Times New Roman"/>
          <w:sz w:val="24"/>
          <w:szCs w:val="24"/>
        </w:rPr>
        <w:t xml:space="preserve"> the fraction of the state’s firms that are small</w:t>
      </w:r>
      <w:r w:rsidR="00F721CC">
        <w:rPr>
          <w:rFonts w:ascii="Times New Roman" w:hAnsi="Times New Roman" w:cs="Times New Roman"/>
          <w:sz w:val="24"/>
          <w:szCs w:val="24"/>
        </w:rPr>
        <w:t xml:space="preserve"> -- </w:t>
      </w:r>
      <w:r w:rsidR="00F721CC" w:rsidRPr="00BF790C">
        <w:rPr>
          <w:rFonts w:ascii="Times New Roman" w:hAnsi="Times New Roman" w:cs="Times New Roman"/>
          <w:sz w:val="24"/>
          <w:szCs w:val="24"/>
        </w:rPr>
        <w:t>matter</w:t>
      </w:r>
      <w:r w:rsidR="007125D3" w:rsidRPr="00BF790C">
        <w:rPr>
          <w:rFonts w:ascii="Times New Roman" w:hAnsi="Times New Roman" w:cs="Times New Roman"/>
          <w:sz w:val="24"/>
          <w:szCs w:val="24"/>
        </w:rPr>
        <w:t xml:space="preserve">. We control for other factors </w:t>
      </w:r>
      <w:r w:rsidR="0067523B" w:rsidRPr="00BF790C">
        <w:rPr>
          <w:rFonts w:ascii="Times New Roman" w:hAnsi="Times New Roman" w:cs="Times New Roman"/>
          <w:sz w:val="24"/>
          <w:szCs w:val="24"/>
        </w:rPr>
        <w:t xml:space="preserve">that </w:t>
      </w:r>
      <w:r w:rsidR="007125D3" w:rsidRPr="00BF790C">
        <w:rPr>
          <w:rFonts w:ascii="Times New Roman" w:hAnsi="Times New Roman" w:cs="Times New Roman"/>
          <w:sz w:val="24"/>
          <w:szCs w:val="24"/>
        </w:rPr>
        <w:t xml:space="preserve">typically explain variation in retirement account coverage rates -- </w:t>
      </w:r>
      <w:r w:rsidRPr="00BF790C">
        <w:rPr>
          <w:rFonts w:ascii="Times New Roman" w:hAnsi="Times New Roman" w:cs="Times New Roman"/>
          <w:sz w:val="24"/>
          <w:szCs w:val="24"/>
        </w:rPr>
        <w:t>worker’s education level, age, and employer firm size</w:t>
      </w:r>
      <w:r w:rsidR="007125D3" w:rsidRPr="00BF790C">
        <w:rPr>
          <w:rFonts w:ascii="Times New Roman" w:hAnsi="Times New Roman" w:cs="Times New Roman"/>
          <w:sz w:val="24"/>
          <w:szCs w:val="24"/>
        </w:rPr>
        <w:t xml:space="preserve">. </w:t>
      </w:r>
    </w:p>
    <w:p w:rsidR="006D2F4D" w:rsidRDefault="006D2F4D"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Even and </w:t>
      </w:r>
      <w:proofErr w:type="spellStart"/>
      <w:r w:rsidRPr="00BF790C">
        <w:rPr>
          <w:rFonts w:ascii="Times New Roman" w:hAnsi="Times New Roman" w:cs="Times New Roman"/>
          <w:sz w:val="24"/>
          <w:szCs w:val="24"/>
        </w:rPr>
        <w:t>MacPherson</w:t>
      </w:r>
      <w:proofErr w:type="spellEnd"/>
      <w:r w:rsidRPr="00BF790C">
        <w:rPr>
          <w:rFonts w:ascii="Times New Roman" w:hAnsi="Times New Roman" w:cs="Times New Roman"/>
          <w:sz w:val="24"/>
          <w:szCs w:val="24"/>
        </w:rPr>
        <w:t xml:space="preserve"> (2008) found that the growth in small firms was the main reason for the drop in employer-sponsorship of retirement plans.  They called for policy makers to help small firms sponsor retirement accounts.  </w:t>
      </w:r>
      <w:r w:rsidR="00F721CC">
        <w:rPr>
          <w:rFonts w:ascii="Times New Roman" w:hAnsi="Times New Roman" w:cs="Times New Roman"/>
          <w:sz w:val="24"/>
          <w:szCs w:val="24"/>
        </w:rPr>
        <w:t>If</w:t>
      </w:r>
      <w:r w:rsidRPr="00BF790C">
        <w:rPr>
          <w:rFonts w:ascii="Times New Roman" w:hAnsi="Times New Roman" w:cs="Times New Roman"/>
          <w:sz w:val="24"/>
          <w:szCs w:val="24"/>
        </w:rPr>
        <w:t xml:space="preserve"> the bargaining environment for benefits</w:t>
      </w:r>
      <w:r w:rsidR="00F721CC">
        <w:rPr>
          <w:rFonts w:ascii="Times New Roman" w:hAnsi="Times New Roman" w:cs="Times New Roman"/>
          <w:sz w:val="24"/>
          <w:szCs w:val="24"/>
        </w:rPr>
        <w:t xml:space="preserve"> determines employer sponsorship of retirement plans then </w:t>
      </w:r>
      <w:r w:rsidRPr="00BF790C">
        <w:rPr>
          <w:rFonts w:ascii="Times New Roman" w:hAnsi="Times New Roman" w:cs="Times New Roman"/>
          <w:sz w:val="24"/>
          <w:szCs w:val="24"/>
        </w:rPr>
        <w:t xml:space="preserve">incenting small firms to sponsor retirement plans may be ineffective in raising sponsorship rates.  </w:t>
      </w:r>
    </w:p>
    <w:p w:rsidR="00BE1A6B" w:rsidRPr="00BF790C" w:rsidRDefault="00BE1A6B" w:rsidP="001F00BE">
      <w:pPr>
        <w:spacing w:line="480" w:lineRule="auto"/>
        <w:rPr>
          <w:rFonts w:ascii="Times New Roman" w:hAnsi="Times New Roman" w:cs="Times New Roman"/>
          <w:sz w:val="24"/>
          <w:szCs w:val="24"/>
        </w:rPr>
      </w:pPr>
    </w:p>
    <w:p w:rsidR="004F489F" w:rsidRPr="00B22CE0" w:rsidRDefault="00BE1A6B" w:rsidP="001F00BE">
      <w:pPr>
        <w:spacing w:line="480" w:lineRule="auto"/>
        <w:rPr>
          <w:rFonts w:ascii="Times New Roman" w:hAnsi="Times New Roman" w:cs="Times New Roman"/>
          <w:sz w:val="24"/>
          <w:szCs w:val="24"/>
        </w:rPr>
      </w:pPr>
      <w:r w:rsidRPr="00BF790C">
        <w:rPr>
          <w:rFonts w:ascii="Times New Roman" w:hAnsi="Times New Roman" w:cs="Times New Roman"/>
          <w:b/>
          <w:sz w:val="24"/>
          <w:szCs w:val="24"/>
        </w:rPr>
        <w:t xml:space="preserve">1A. EMPLOYER RETIREMENT ACCOUNT AND PENSION PLAN </w:t>
      </w:r>
      <w:r>
        <w:rPr>
          <w:rFonts w:ascii="Times New Roman" w:hAnsi="Times New Roman" w:cs="Times New Roman"/>
          <w:b/>
          <w:sz w:val="24"/>
          <w:szCs w:val="24"/>
        </w:rPr>
        <w:t>SPONSORSHIP O</w:t>
      </w:r>
      <w:r w:rsidRPr="00BF790C">
        <w:rPr>
          <w:rFonts w:ascii="Times New Roman" w:hAnsi="Times New Roman" w:cs="Times New Roman"/>
          <w:b/>
          <w:sz w:val="24"/>
          <w:szCs w:val="24"/>
        </w:rPr>
        <w:t>VER TIME</w:t>
      </w:r>
    </w:p>
    <w:p w:rsidR="004F489F" w:rsidRPr="00BF790C" w:rsidRDefault="009A43DA"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The </w:t>
      </w:r>
      <w:r w:rsidR="002C3452" w:rsidRPr="00BF790C">
        <w:rPr>
          <w:rFonts w:ascii="Times New Roman" w:hAnsi="Times New Roman" w:cs="Times New Roman"/>
          <w:sz w:val="24"/>
          <w:szCs w:val="24"/>
        </w:rPr>
        <w:t>1980-2012 March Supplement of the Current Population Survey</w:t>
      </w:r>
      <w:r w:rsidRPr="00BF790C">
        <w:rPr>
          <w:rFonts w:ascii="Times New Roman" w:hAnsi="Times New Roman" w:cs="Times New Roman"/>
          <w:sz w:val="24"/>
          <w:szCs w:val="24"/>
        </w:rPr>
        <w:t xml:space="preserve"> </w:t>
      </w:r>
      <w:r w:rsidR="002C3452" w:rsidRPr="00BF790C">
        <w:rPr>
          <w:rFonts w:ascii="Times New Roman" w:hAnsi="Times New Roman" w:cs="Times New Roman"/>
          <w:sz w:val="24"/>
          <w:szCs w:val="24"/>
        </w:rPr>
        <w:t xml:space="preserve">asks respondents </w:t>
      </w:r>
      <w:r w:rsidR="00D52511" w:rsidRPr="00BF790C">
        <w:rPr>
          <w:rFonts w:ascii="Times New Roman" w:hAnsi="Times New Roman" w:cs="Times New Roman"/>
          <w:sz w:val="24"/>
          <w:szCs w:val="24"/>
        </w:rPr>
        <w:t xml:space="preserve">who worked in the previous year </w:t>
      </w:r>
      <w:r w:rsidR="005B3DB7" w:rsidRPr="00BF790C">
        <w:rPr>
          <w:rFonts w:ascii="Times New Roman" w:hAnsi="Times New Roman" w:cs="Times New Roman"/>
          <w:color w:val="222222"/>
          <w:sz w:val="24"/>
          <w:szCs w:val="24"/>
          <w:shd w:val="clear" w:color="auto" w:fill="FFFFFF"/>
        </w:rPr>
        <w:t xml:space="preserve">whether the employer </w:t>
      </w:r>
      <w:r w:rsidR="00B42F41" w:rsidRPr="00BF790C">
        <w:rPr>
          <w:rFonts w:ascii="Times New Roman" w:hAnsi="Times New Roman" w:cs="Times New Roman"/>
          <w:color w:val="222222"/>
          <w:sz w:val="24"/>
          <w:szCs w:val="24"/>
          <w:shd w:val="clear" w:color="auto" w:fill="FFFFFF"/>
        </w:rPr>
        <w:t xml:space="preserve">(or union) </w:t>
      </w:r>
      <w:r w:rsidR="005B3DB7" w:rsidRPr="00BF790C">
        <w:rPr>
          <w:rFonts w:ascii="Times New Roman" w:hAnsi="Times New Roman" w:cs="Times New Roman"/>
          <w:color w:val="222222"/>
          <w:sz w:val="24"/>
          <w:szCs w:val="24"/>
          <w:shd w:val="clear" w:color="auto" w:fill="FFFFFF"/>
        </w:rPr>
        <w:t xml:space="preserve">for their longest job during the preceding calendar year had a pension or other retirement plan for </w:t>
      </w:r>
      <w:r w:rsidR="005B3DB7" w:rsidRPr="00BF790C">
        <w:rPr>
          <w:rFonts w:ascii="Times New Roman" w:hAnsi="Times New Roman" w:cs="Times New Roman"/>
          <w:i/>
          <w:color w:val="222222"/>
          <w:sz w:val="24"/>
          <w:szCs w:val="24"/>
          <w:shd w:val="clear" w:color="auto" w:fill="FFFFFF"/>
        </w:rPr>
        <w:t>any</w:t>
      </w:r>
      <w:r w:rsidR="005B3DB7" w:rsidRPr="00BF790C">
        <w:rPr>
          <w:rFonts w:ascii="Times New Roman" w:hAnsi="Times New Roman" w:cs="Times New Roman"/>
          <w:color w:val="222222"/>
          <w:sz w:val="24"/>
          <w:szCs w:val="24"/>
          <w:shd w:val="clear" w:color="auto" w:fill="FFFFFF"/>
        </w:rPr>
        <w:t xml:space="preserve"> of the employees</w:t>
      </w:r>
      <w:r w:rsidR="00F52FDF" w:rsidRPr="00BF790C">
        <w:rPr>
          <w:rFonts w:ascii="Times New Roman" w:hAnsi="Times New Roman" w:cs="Times New Roman"/>
          <w:color w:val="222222"/>
          <w:sz w:val="24"/>
          <w:szCs w:val="24"/>
          <w:shd w:val="clear" w:color="auto" w:fill="FFFFFF"/>
        </w:rPr>
        <w:t xml:space="preserve"> (sponsorship)</w:t>
      </w:r>
      <w:r w:rsidR="00C45711" w:rsidRPr="00BF790C">
        <w:rPr>
          <w:rFonts w:ascii="Times New Roman" w:hAnsi="Times New Roman" w:cs="Times New Roman"/>
          <w:sz w:val="24"/>
          <w:szCs w:val="24"/>
        </w:rPr>
        <w:t>, and if they did, whether the worker participated in such a plan</w:t>
      </w:r>
      <w:r w:rsidR="00F52FDF" w:rsidRPr="00BF790C">
        <w:rPr>
          <w:rFonts w:ascii="Times New Roman" w:hAnsi="Times New Roman" w:cs="Times New Roman"/>
          <w:sz w:val="24"/>
          <w:szCs w:val="24"/>
        </w:rPr>
        <w:t xml:space="preserve"> (participation)</w:t>
      </w:r>
      <w:r w:rsidR="002C3452" w:rsidRPr="00BF790C">
        <w:rPr>
          <w:rFonts w:ascii="Times New Roman" w:hAnsi="Times New Roman" w:cs="Times New Roman"/>
          <w:sz w:val="24"/>
          <w:szCs w:val="24"/>
        </w:rPr>
        <w:t>.</w:t>
      </w:r>
      <w:r w:rsidR="00F721CC" w:rsidRPr="00F721CC">
        <w:rPr>
          <w:rStyle w:val="EndnoteReference"/>
          <w:rFonts w:ascii="Times New Roman" w:hAnsi="Times New Roman" w:cs="Times New Roman"/>
          <w:sz w:val="24"/>
          <w:szCs w:val="24"/>
        </w:rPr>
        <w:t xml:space="preserve"> </w:t>
      </w:r>
      <w:r w:rsidR="004F0ACB" w:rsidRPr="00BF790C">
        <w:rPr>
          <w:rStyle w:val="FootnoteReference"/>
          <w:rFonts w:ascii="Times New Roman" w:hAnsi="Times New Roman" w:cs="Times New Roman"/>
          <w:sz w:val="24"/>
          <w:szCs w:val="24"/>
        </w:rPr>
        <w:footnoteReference w:id="2"/>
      </w:r>
      <w:r w:rsidR="004F0ACB" w:rsidRPr="00BF790C">
        <w:rPr>
          <w:rFonts w:ascii="Times New Roman" w:hAnsi="Times New Roman" w:cs="Times New Roman"/>
          <w:sz w:val="24"/>
          <w:szCs w:val="24"/>
        </w:rPr>
        <w:t xml:space="preserve"> </w:t>
      </w:r>
      <w:r w:rsidR="002C3452" w:rsidRPr="00BF790C">
        <w:rPr>
          <w:rFonts w:ascii="Times New Roman" w:hAnsi="Times New Roman" w:cs="Times New Roman"/>
          <w:sz w:val="24"/>
          <w:szCs w:val="24"/>
        </w:rPr>
        <w:t xml:space="preserve">We </w:t>
      </w:r>
      <w:r w:rsidR="0004142C" w:rsidRPr="00BF790C">
        <w:rPr>
          <w:rFonts w:ascii="Times New Roman" w:hAnsi="Times New Roman" w:cs="Times New Roman"/>
          <w:sz w:val="24"/>
          <w:szCs w:val="24"/>
        </w:rPr>
        <w:t xml:space="preserve">construct </w:t>
      </w:r>
      <w:r w:rsidRPr="00BF790C">
        <w:rPr>
          <w:rFonts w:ascii="Times New Roman" w:hAnsi="Times New Roman" w:cs="Times New Roman"/>
          <w:sz w:val="24"/>
          <w:szCs w:val="24"/>
        </w:rPr>
        <w:t>sponsorship</w:t>
      </w:r>
      <w:r w:rsidR="003521A3" w:rsidRPr="00BF790C">
        <w:rPr>
          <w:rFonts w:ascii="Times New Roman" w:hAnsi="Times New Roman" w:cs="Times New Roman"/>
          <w:sz w:val="24"/>
          <w:szCs w:val="24"/>
        </w:rPr>
        <w:t xml:space="preserve"> </w:t>
      </w:r>
      <w:r w:rsidR="002530C8" w:rsidRPr="00BF790C">
        <w:rPr>
          <w:rFonts w:ascii="Times New Roman" w:hAnsi="Times New Roman" w:cs="Times New Roman"/>
          <w:sz w:val="24"/>
          <w:szCs w:val="24"/>
        </w:rPr>
        <w:t xml:space="preserve">and participation </w:t>
      </w:r>
      <w:r w:rsidR="003521A3" w:rsidRPr="00BF790C">
        <w:rPr>
          <w:rFonts w:ascii="Times New Roman" w:hAnsi="Times New Roman" w:cs="Times New Roman"/>
          <w:sz w:val="24"/>
          <w:szCs w:val="24"/>
        </w:rPr>
        <w:t>rate</w:t>
      </w:r>
      <w:r w:rsidRPr="00BF790C">
        <w:rPr>
          <w:rFonts w:ascii="Times New Roman" w:hAnsi="Times New Roman" w:cs="Times New Roman"/>
          <w:sz w:val="24"/>
          <w:szCs w:val="24"/>
        </w:rPr>
        <w:t>s</w:t>
      </w:r>
      <w:r w:rsidR="003521A3" w:rsidRPr="00BF790C">
        <w:rPr>
          <w:rFonts w:ascii="Times New Roman" w:hAnsi="Times New Roman" w:cs="Times New Roman"/>
          <w:sz w:val="24"/>
          <w:szCs w:val="24"/>
        </w:rPr>
        <w:t xml:space="preserve"> from this question</w:t>
      </w:r>
      <w:r w:rsidR="00F73953" w:rsidRPr="00BF790C">
        <w:rPr>
          <w:rStyle w:val="FootnoteReference"/>
          <w:rFonts w:ascii="Times New Roman" w:hAnsi="Times New Roman" w:cs="Times New Roman"/>
          <w:sz w:val="24"/>
          <w:szCs w:val="24"/>
        </w:rPr>
        <w:footnoteReference w:id="3"/>
      </w:r>
      <w:r w:rsidR="00F73953" w:rsidRPr="00BF790C">
        <w:rPr>
          <w:rFonts w:ascii="Times New Roman" w:hAnsi="Times New Roman" w:cs="Times New Roman"/>
          <w:sz w:val="24"/>
          <w:szCs w:val="24"/>
        </w:rPr>
        <w:t xml:space="preserve"> </w:t>
      </w:r>
      <w:r w:rsidR="003521A3" w:rsidRPr="00BF790C">
        <w:rPr>
          <w:rFonts w:ascii="Times New Roman" w:hAnsi="Times New Roman" w:cs="Times New Roman"/>
          <w:sz w:val="24"/>
          <w:szCs w:val="24"/>
        </w:rPr>
        <w:t>limit</w:t>
      </w:r>
      <w:r w:rsidR="00F73953" w:rsidRPr="00BF790C">
        <w:rPr>
          <w:rFonts w:ascii="Times New Roman" w:hAnsi="Times New Roman" w:cs="Times New Roman"/>
          <w:sz w:val="24"/>
          <w:szCs w:val="24"/>
        </w:rPr>
        <w:t>ing</w:t>
      </w:r>
      <w:r w:rsidR="003521A3" w:rsidRPr="00BF790C">
        <w:rPr>
          <w:rFonts w:ascii="Times New Roman" w:hAnsi="Times New Roman" w:cs="Times New Roman"/>
          <w:sz w:val="24"/>
          <w:szCs w:val="24"/>
        </w:rPr>
        <w:t xml:space="preserve"> the sample to people ages 25-64 who worked at least one week the previous year. </w:t>
      </w:r>
    </w:p>
    <w:p w:rsidR="004F489F" w:rsidRDefault="00FA0012"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Looking at retirement account sponsorship trends over time, we see that f</w:t>
      </w:r>
      <w:r w:rsidR="009A43DA" w:rsidRPr="00BF790C">
        <w:rPr>
          <w:rFonts w:ascii="Times New Roman" w:hAnsi="Times New Roman" w:cs="Times New Roman"/>
          <w:sz w:val="24"/>
          <w:szCs w:val="24"/>
        </w:rPr>
        <w:t>rom</w:t>
      </w:r>
      <w:r w:rsidR="003521A3" w:rsidRPr="00BF790C">
        <w:rPr>
          <w:rFonts w:ascii="Times New Roman" w:hAnsi="Times New Roman" w:cs="Times New Roman"/>
          <w:sz w:val="24"/>
          <w:szCs w:val="24"/>
        </w:rPr>
        <w:t xml:space="preserve"> 1980 through 1988, </w:t>
      </w:r>
      <w:r w:rsidR="00F73953" w:rsidRPr="00BF790C">
        <w:rPr>
          <w:rFonts w:ascii="Times New Roman" w:hAnsi="Times New Roman" w:cs="Times New Roman"/>
          <w:sz w:val="24"/>
          <w:szCs w:val="24"/>
        </w:rPr>
        <w:t xml:space="preserve">rates of </w:t>
      </w:r>
      <w:r w:rsidR="009A43DA" w:rsidRPr="00BF790C">
        <w:rPr>
          <w:rFonts w:ascii="Times New Roman" w:hAnsi="Times New Roman" w:cs="Times New Roman"/>
          <w:sz w:val="24"/>
          <w:szCs w:val="24"/>
        </w:rPr>
        <w:t xml:space="preserve">retirement account </w:t>
      </w:r>
      <w:r w:rsidR="003521A3" w:rsidRPr="00BF790C">
        <w:rPr>
          <w:rFonts w:ascii="Times New Roman" w:hAnsi="Times New Roman" w:cs="Times New Roman"/>
          <w:sz w:val="24"/>
          <w:szCs w:val="24"/>
        </w:rPr>
        <w:t xml:space="preserve">sponsorship </w:t>
      </w:r>
      <w:r w:rsidR="00F73953" w:rsidRPr="00BF790C">
        <w:rPr>
          <w:rFonts w:ascii="Times New Roman" w:hAnsi="Times New Roman" w:cs="Times New Roman"/>
          <w:sz w:val="24"/>
          <w:szCs w:val="24"/>
        </w:rPr>
        <w:t xml:space="preserve">by employers </w:t>
      </w:r>
      <w:r w:rsidR="003521A3" w:rsidRPr="00BF790C">
        <w:rPr>
          <w:rFonts w:ascii="Times New Roman" w:hAnsi="Times New Roman" w:cs="Times New Roman"/>
          <w:sz w:val="24"/>
          <w:szCs w:val="24"/>
        </w:rPr>
        <w:t xml:space="preserve">declined slightly, from 58% to 55%. </w:t>
      </w:r>
      <w:r w:rsidRPr="00BF790C">
        <w:rPr>
          <w:rFonts w:ascii="Times New Roman" w:hAnsi="Times New Roman" w:cs="Times New Roman"/>
          <w:sz w:val="24"/>
          <w:szCs w:val="24"/>
        </w:rPr>
        <w:t>Then</w:t>
      </w:r>
      <w:r w:rsidR="003521A3" w:rsidRPr="00BF790C">
        <w:rPr>
          <w:rFonts w:ascii="Times New Roman" w:hAnsi="Times New Roman" w:cs="Times New Roman"/>
          <w:sz w:val="24"/>
          <w:szCs w:val="24"/>
        </w:rPr>
        <w:t xml:space="preserve"> in 1988, sponsorship rates began a decade</w:t>
      </w:r>
      <w:r w:rsidR="007125D3" w:rsidRPr="00BF790C">
        <w:rPr>
          <w:rFonts w:ascii="Times New Roman" w:hAnsi="Times New Roman" w:cs="Times New Roman"/>
          <w:sz w:val="24"/>
          <w:szCs w:val="24"/>
        </w:rPr>
        <w:t>-</w:t>
      </w:r>
      <w:r w:rsidR="003521A3" w:rsidRPr="00BF790C">
        <w:rPr>
          <w:rFonts w:ascii="Times New Roman" w:hAnsi="Times New Roman" w:cs="Times New Roman"/>
          <w:sz w:val="24"/>
          <w:szCs w:val="24"/>
        </w:rPr>
        <w:t xml:space="preserve">long increase </w:t>
      </w:r>
      <w:r w:rsidR="00B42F41" w:rsidRPr="00BF790C">
        <w:rPr>
          <w:rFonts w:ascii="Times New Roman" w:hAnsi="Times New Roman" w:cs="Times New Roman"/>
          <w:sz w:val="24"/>
          <w:szCs w:val="24"/>
        </w:rPr>
        <w:t xml:space="preserve">rising </w:t>
      </w:r>
      <w:r w:rsidR="003521A3" w:rsidRPr="00BF790C">
        <w:rPr>
          <w:rFonts w:ascii="Times New Roman" w:hAnsi="Times New Roman" w:cs="Times New Roman"/>
          <w:sz w:val="24"/>
          <w:szCs w:val="24"/>
        </w:rPr>
        <w:t>from 55% to 61%</w:t>
      </w:r>
      <w:r w:rsidRPr="00BF790C">
        <w:rPr>
          <w:rFonts w:ascii="Times New Roman" w:hAnsi="Times New Roman" w:cs="Times New Roman"/>
          <w:sz w:val="24"/>
          <w:szCs w:val="24"/>
        </w:rPr>
        <w:t xml:space="preserve"> in</w:t>
      </w:r>
      <w:r w:rsidR="00B42F41" w:rsidRPr="00BF790C">
        <w:rPr>
          <w:rFonts w:ascii="Times New Roman" w:hAnsi="Times New Roman" w:cs="Times New Roman"/>
          <w:sz w:val="24"/>
          <w:szCs w:val="24"/>
        </w:rPr>
        <w:t xml:space="preserve"> </w:t>
      </w:r>
      <w:r w:rsidR="003521A3" w:rsidRPr="00BF790C">
        <w:rPr>
          <w:rFonts w:ascii="Times New Roman" w:hAnsi="Times New Roman" w:cs="Times New Roman"/>
          <w:sz w:val="24"/>
          <w:szCs w:val="24"/>
        </w:rPr>
        <w:t xml:space="preserve">2001. </w:t>
      </w:r>
      <w:r w:rsidR="00B42F41" w:rsidRPr="00BF790C">
        <w:rPr>
          <w:rFonts w:ascii="Times New Roman" w:hAnsi="Times New Roman" w:cs="Times New Roman"/>
          <w:sz w:val="24"/>
          <w:szCs w:val="24"/>
        </w:rPr>
        <w:t xml:space="preserve">Unfortunately, </w:t>
      </w:r>
      <w:r w:rsidRPr="00BF790C">
        <w:rPr>
          <w:rFonts w:ascii="Times New Roman" w:hAnsi="Times New Roman" w:cs="Times New Roman"/>
          <w:sz w:val="24"/>
          <w:szCs w:val="24"/>
        </w:rPr>
        <w:t>that increase was short lived; from 2001 through 2012</w:t>
      </w:r>
      <w:r w:rsidR="003521A3" w:rsidRPr="00BF790C">
        <w:rPr>
          <w:rFonts w:ascii="Times New Roman" w:hAnsi="Times New Roman" w:cs="Times New Roman"/>
          <w:sz w:val="24"/>
          <w:szCs w:val="24"/>
        </w:rPr>
        <w:t>, sponsorship rates</w:t>
      </w:r>
      <w:r w:rsidR="00B42F41" w:rsidRPr="00BF790C">
        <w:rPr>
          <w:rFonts w:ascii="Times New Roman" w:hAnsi="Times New Roman" w:cs="Times New Roman"/>
          <w:sz w:val="24"/>
          <w:szCs w:val="24"/>
        </w:rPr>
        <w:t xml:space="preserve"> fell </w:t>
      </w:r>
      <w:r w:rsidRPr="00BF790C">
        <w:rPr>
          <w:rFonts w:ascii="Times New Roman" w:hAnsi="Times New Roman" w:cs="Times New Roman"/>
          <w:sz w:val="24"/>
          <w:szCs w:val="24"/>
        </w:rPr>
        <w:t xml:space="preserve">dramatically </w:t>
      </w:r>
      <w:r w:rsidR="003521A3" w:rsidRPr="00BF790C">
        <w:rPr>
          <w:rFonts w:ascii="Times New Roman" w:hAnsi="Times New Roman" w:cs="Times New Roman"/>
          <w:sz w:val="24"/>
          <w:szCs w:val="24"/>
        </w:rPr>
        <w:t>from 61% to an all time historical low of 53%</w:t>
      </w:r>
      <w:r w:rsidR="00B42F41" w:rsidRPr="00BF790C">
        <w:rPr>
          <w:rFonts w:ascii="Times New Roman" w:hAnsi="Times New Roman" w:cs="Times New Roman"/>
          <w:sz w:val="24"/>
          <w:szCs w:val="24"/>
        </w:rPr>
        <w:t xml:space="preserve"> -- </w:t>
      </w:r>
      <w:r w:rsidRPr="00BF790C">
        <w:rPr>
          <w:rFonts w:ascii="Times New Roman" w:hAnsi="Times New Roman" w:cs="Times New Roman"/>
          <w:sz w:val="24"/>
          <w:szCs w:val="24"/>
        </w:rPr>
        <w:t>a drop of</w:t>
      </w:r>
      <w:r w:rsidR="003521A3" w:rsidRPr="00BF790C">
        <w:rPr>
          <w:rFonts w:ascii="Times New Roman" w:hAnsi="Times New Roman" w:cs="Times New Roman"/>
          <w:sz w:val="24"/>
          <w:szCs w:val="24"/>
        </w:rPr>
        <w:t xml:space="preserve"> 13% or 8 percentage points. The trend in participation rates mirrors that in sponsorship rates, but the levels are lower.</w:t>
      </w:r>
    </w:p>
    <w:p w:rsidR="009C2214" w:rsidRPr="00BF790C" w:rsidRDefault="009C2214" w:rsidP="001F00BE">
      <w:pPr>
        <w:spacing w:line="480" w:lineRule="auto"/>
        <w:rPr>
          <w:rFonts w:ascii="Times New Roman" w:hAnsi="Times New Roman" w:cs="Times New Roman"/>
          <w:sz w:val="24"/>
          <w:szCs w:val="24"/>
        </w:rPr>
      </w:pPr>
      <w:r>
        <w:rPr>
          <w:rFonts w:ascii="Times New Roman" w:hAnsi="Times New Roman" w:cs="Times New Roman"/>
          <w:sz w:val="24"/>
          <w:szCs w:val="24"/>
        </w:rPr>
        <w:t>[Figure 1 about here]</w:t>
      </w:r>
    </w:p>
    <w:p w:rsidR="004F489F" w:rsidRDefault="00B42F41" w:rsidP="001F00BE">
      <w:pPr>
        <w:pStyle w:val="HTMLPreformatted"/>
        <w:shd w:val="clear" w:color="auto" w:fill="FFFFFF"/>
        <w:spacing w:line="480" w:lineRule="auto"/>
        <w:rPr>
          <w:rFonts w:ascii="Times New Roman" w:hAnsi="Times New Roman" w:cs="Times New Roman"/>
          <w:sz w:val="24"/>
          <w:szCs w:val="24"/>
        </w:rPr>
      </w:pPr>
      <w:r w:rsidRPr="00BF790C">
        <w:rPr>
          <w:rFonts w:ascii="Times New Roman" w:hAnsi="Times New Roman" w:cs="Times New Roman"/>
          <w:sz w:val="24"/>
          <w:szCs w:val="24"/>
        </w:rPr>
        <w:t>T</w:t>
      </w:r>
      <w:r w:rsidR="009A43DA" w:rsidRPr="00BF790C">
        <w:rPr>
          <w:rFonts w:ascii="Times New Roman" w:hAnsi="Times New Roman" w:cs="Times New Roman"/>
          <w:sz w:val="24"/>
          <w:szCs w:val="24"/>
        </w:rPr>
        <w:t xml:space="preserve">wo </w:t>
      </w:r>
      <w:r w:rsidRPr="00BF790C">
        <w:rPr>
          <w:rFonts w:ascii="Times New Roman" w:hAnsi="Times New Roman" w:cs="Times New Roman"/>
          <w:sz w:val="24"/>
          <w:szCs w:val="24"/>
        </w:rPr>
        <w:t xml:space="preserve">more </w:t>
      </w:r>
      <w:r w:rsidR="009A43DA" w:rsidRPr="00BF790C">
        <w:rPr>
          <w:rFonts w:ascii="Times New Roman" w:hAnsi="Times New Roman" w:cs="Times New Roman"/>
          <w:sz w:val="24"/>
          <w:szCs w:val="24"/>
        </w:rPr>
        <w:t>data sets confirm</w:t>
      </w:r>
      <w:r w:rsidR="00F73953" w:rsidRPr="00BF790C">
        <w:rPr>
          <w:rFonts w:ascii="Times New Roman" w:hAnsi="Times New Roman" w:cs="Times New Roman"/>
          <w:sz w:val="24"/>
          <w:szCs w:val="24"/>
        </w:rPr>
        <w:t xml:space="preserve"> th</w:t>
      </w:r>
      <w:r w:rsidR="00FA0012" w:rsidRPr="00BF790C">
        <w:rPr>
          <w:rFonts w:ascii="Times New Roman" w:hAnsi="Times New Roman" w:cs="Times New Roman"/>
          <w:sz w:val="24"/>
          <w:szCs w:val="24"/>
        </w:rPr>
        <w:t>is</w:t>
      </w:r>
      <w:r w:rsidRPr="00BF790C">
        <w:rPr>
          <w:rFonts w:ascii="Times New Roman" w:hAnsi="Times New Roman" w:cs="Times New Roman"/>
          <w:sz w:val="24"/>
          <w:szCs w:val="24"/>
        </w:rPr>
        <w:t xml:space="preserve"> </w:t>
      </w:r>
      <w:r w:rsidR="009A43DA" w:rsidRPr="00BF790C">
        <w:rPr>
          <w:rFonts w:ascii="Times New Roman" w:hAnsi="Times New Roman" w:cs="Times New Roman"/>
          <w:sz w:val="24"/>
          <w:szCs w:val="24"/>
        </w:rPr>
        <w:t>decline</w:t>
      </w:r>
      <w:r w:rsidR="00FA0012" w:rsidRPr="00BF790C">
        <w:rPr>
          <w:rFonts w:ascii="Times New Roman" w:hAnsi="Times New Roman" w:cs="Times New Roman"/>
          <w:sz w:val="24"/>
          <w:szCs w:val="24"/>
        </w:rPr>
        <w:t>. T</w:t>
      </w:r>
      <w:r w:rsidRPr="00BF790C">
        <w:rPr>
          <w:rFonts w:ascii="Times New Roman" w:hAnsi="Times New Roman" w:cs="Times New Roman"/>
          <w:sz w:val="24"/>
          <w:szCs w:val="24"/>
        </w:rPr>
        <w:t xml:space="preserve">he </w:t>
      </w:r>
      <w:r w:rsidR="009A43DA" w:rsidRPr="00BF790C">
        <w:rPr>
          <w:rFonts w:ascii="Times New Roman" w:hAnsi="Times New Roman" w:cs="Times New Roman"/>
          <w:sz w:val="24"/>
          <w:szCs w:val="24"/>
        </w:rPr>
        <w:t>S</w:t>
      </w:r>
      <w:r w:rsidR="005B3DB7" w:rsidRPr="00BF790C">
        <w:rPr>
          <w:rFonts w:ascii="Times New Roman" w:hAnsi="Times New Roman" w:cs="Times New Roman"/>
          <w:sz w:val="24"/>
          <w:szCs w:val="24"/>
        </w:rPr>
        <w:t xml:space="preserve">urvey of </w:t>
      </w:r>
      <w:r w:rsidR="009A43DA" w:rsidRPr="00BF790C">
        <w:rPr>
          <w:rFonts w:ascii="Times New Roman" w:hAnsi="Times New Roman" w:cs="Times New Roman"/>
          <w:sz w:val="24"/>
          <w:szCs w:val="24"/>
        </w:rPr>
        <w:t>C</w:t>
      </w:r>
      <w:r w:rsidR="005B3DB7" w:rsidRPr="00BF790C">
        <w:rPr>
          <w:rFonts w:ascii="Times New Roman" w:hAnsi="Times New Roman" w:cs="Times New Roman"/>
          <w:sz w:val="24"/>
          <w:szCs w:val="24"/>
        </w:rPr>
        <w:t xml:space="preserve">onsumer </w:t>
      </w:r>
      <w:r w:rsidR="009A43DA" w:rsidRPr="00BF790C">
        <w:rPr>
          <w:rFonts w:ascii="Times New Roman" w:hAnsi="Times New Roman" w:cs="Times New Roman"/>
          <w:sz w:val="24"/>
          <w:szCs w:val="24"/>
        </w:rPr>
        <w:t>F</w:t>
      </w:r>
      <w:r w:rsidR="005B3DB7" w:rsidRPr="00BF790C">
        <w:rPr>
          <w:rFonts w:ascii="Times New Roman" w:hAnsi="Times New Roman" w:cs="Times New Roman"/>
          <w:sz w:val="24"/>
          <w:szCs w:val="24"/>
        </w:rPr>
        <w:t>inances (SCF)</w:t>
      </w:r>
      <w:r w:rsidR="00FA0012" w:rsidRPr="00BF790C">
        <w:rPr>
          <w:rFonts w:ascii="Times New Roman" w:hAnsi="Times New Roman" w:cs="Times New Roman"/>
          <w:sz w:val="24"/>
          <w:szCs w:val="24"/>
        </w:rPr>
        <w:t xml:space="preserve"> --</w:t>
      </w:r>
      <w:r w:rsidR="009A43DA" w:rsidRPr="00BF790C">
        <w:rPr>
          <w:rFonts w:ascii="Times New Roman" w:hAnsi="Times New Roman" w:cs="Times New Roman"/>
          <w:sz w:val="24"/>
          <w:szCs w:val="24"/>
        </w:rPr>
        <w:t xml:space="preserve"> </w:t>
      </w:r>
      <w:r w:rsidR="005B3DB7" w:rsidRPr="00BF790C">
        <w:rPr>
          <w:rFonts w:ascii="Times New Roman" w:hAnsi="Times New Roman" w:cs="Times New Roman"/>
          <w:sz w:val="24"/>
          <w:szCs w:val="24"/>
        </w:rPr>
        <w:t xml:space="preserve">a household level survey collected every three years from 1989-2010 </w:t>
      </w:r>
      <w:r w:rsidR="00FA0012" w:rsidRPr="00BF790C">
        <w:rPr>
          <w:rFonts w:ascii="Times New Roman" w:hAnsi="Times New Roman" w:cs="Times New Roman"/>
          <w:sz w:val="24"/>
          <w:szCs w:val="24"/>
        </w:rPr>
        <w:t xml:space="preserve">-- </w:t>
      </w:r>
      <w:r w:rsidR="005B3DB7" w:rsidRPr="00BF790C">
        <w:rPr>
          <w:rFonts w:ascii="Times New Roman" w:hAnsi="Times New Roman" w:cs="Times New Roman"/>
          <w:sz w:val="24"/>
          <w:szCs w:val="24"/>
        </w:rPr>
        <w:t>asks respondents whether the h</w:t>
      </w:r>
      <w:r w:rsidR="005B3DB7" w:rsidRPr="00BF790C">
        <w:rPr>
          <w:rFonts w:ascii="Times New Roman" w:hAnsi="Times New Roman" w:cs="Times New Roman"/>
          <w:color w:val="000000"/>
          <w:sz w:val="24"/>
          <w:szCs w:val="24"/>
        </w:rPr>
        <w:t xml:space="preserve">ead of </w:t>
      </w:r>
      <w:r w:rsidR="00FA0012" w:rsidRPr="00BF790C">
        <w:rPr>
          <w:rFonts w:ascii="Times New Roman" w:hAnsi="Times New Roman" w:cs="Times New Roman"/>
          <w:color w:val="000000"/>
          <w:sz w:val="24"/>
          <w:szCs w:val="24"/>
        </w:rPr>
        <w:t xml:space="preserve">the </w:t>
      </w:r>
      <w:r w:rsidR="005B3DB7" w:rsidRPr="00BF790C">
        <w:rPr>
          <w:rFonts w:ascii="Times New Roman" w:hAnsi="Times New Roman" w:cs="Times New Roman"/>
          <w:color w:val="000000"/>
          <w:sz w:val="24"/>
          <w:szCs w:val="24"/>
        </w:rPr>
        <w:t xml:space="preserve">household or their spouse has any type of </w:t>
      </w:r>
      <w:r w:rsidRPr="00BF790C">
        <w:rPr>
          <w:rFonts w:ascii="Times New Roman" w:hAnsi="Times New Roman" w:cs="Times New Roman"/>
          <w:color w:val="000000"/>
          <w:sz w:val="24"/>
          <w:szCs w:val="24"/>
        </w:rPr>
        <w:t xml:space="preserve">retirement account </w:t>
      </w:r>
      <w:r w:rsidR="005B3DB7" w:rsidRPr="00BF790C">
        <w:rPr>
          <w:rFonts w:ascii="Times New Roman" w:hAnsi="Times New Roman" w:cs="Times New Roman"/>
          <w:color w:val="000000"/>
          <w:sz w:val="24"/>
          <w:szCs w:val="24"/>
        </w:rPr>
        <w:t>from a current or past job.</w:t>
      </w:r>
      <w:r w:rsidR="0021683F" w:rsidRPr="00BF790C">
        <w:rPr>
          <w:rFonts w:ascii="Times New Roman" w:hAnsi="Times New Roman" w:cs="Times New Roman"/>
          <w:color w:val="000000"/>
          <w:sz w:val="24"/>
          <w:szCs w:val="24"/>
        </w:rPr>
        <w:t xml:space="preserve"> </w:t>
      </w:r>
      <w:r w:rsidR="009A43DA" w:rsidRPr="00BF790C">
        <w:rPr>
          <w:rFonts w:ascii="Times New Roman" w:hAnsi="Times New Roman" w:cs="Times New Roman"/>
          <w:color w:val="000000"/>
          <w:sz w:val="24"/>
          <w:szCs w:val="24"/>
        </w:rPr>
        <w:t xml:space="preserve"> </w:t>
      </w:r>
      <w:r w:rsidRPr="00BF790C">
        <w:rPr>
          <w:rFonts w:ascii="Times New Roman" w:hAnsi="Times New Roman" w:cs="Times New Roman"/>
          <w:sz w:val="24"/>
          <w:szCs w:val="24"/>
        </w:rPr>
        <w:t xml:space="preserve">For households </w:t>
      </w:r>
      <w:r w:rsidR="00FA0012" w:rsidRPr="00BF790C">
        <w:rPr>
          <w:rFonts w:ascii="Times New Roman" w:hAnsi="Times New Roman" w:cs="Times New Roman"/>
          <w:sz w:val="24"/>
          <w:szCs w:val="24"/>
        </w:rPr>
        <w:t>where the head of the household is</w:t>
      </w:r>
      <w:r w:rsidR="003521A3" w:rsidRPr="00BF790C">
        <w:rPr>
          <w:rFonts w:ascii="Times New Roman" w:hAnsi="Times New Roman" w:cs="Times New Roman"/>
          <w:sz w:val="24"/>
          <w:szCs w:val="24"/>
        </w:rPr>
        <w:t xml:space="preserve"> age 25-64</w:t>
      </w:r>
      <w:r w:rsidR="00FA0012" w:rsidRPr="00BF790C">
        <w:rPr>
          <w:rFonts w:ascii="Times New Roman" w:hAnsi="Times New Roman" w:cs="Times New Roman"/>
          <w:sz w:val="24"/>
          <w:szCs w:val="24"/>
        </w:rPr>
        <w:t>,</w:t>
      </w:r>
      <w:r w:rsidR="003521A3" w:rsidRPr="00BF790C">
        <w:rPr>
          <w:rFonts w:ascii="Times New Roman" w:hAnsi="Times New Roman" w:cs="Times New Roman"/>
          <w:sz w:val="24"/>
          <w:szCs w:val="24"/>
        </w:rPr>
        <w:t xml:space="preserve"> employer</w:t>
      </w:r>
      <w:r w:rsidRPr="00BF790C">
        <w:rPr>
          <w:rFonts w:ascii="Times New Roman" w:hAnsi="Times New Roman" w:cs="Times New Roman"/>
          <w:sz w:val="24"/>
          <w:szCs w:val="24"/>
        </w:rPr>
        <w:t>-</w:t>
      </w:r>
      <w:r w:rsidR="003521A3" w:rsidRPr="00BF790C">
        <w:rPr>
          <w:rFonts w:ascii="Times New Roman" w:hAnsi="Times New Roman" w:cs="Times New Roman"/>
          <w:sz w:val="24"/>
          <w:szCs w:val="24"/>
        </w:rPr>
        <w:t xml:space="preserve">provided </w:t>
      </w:r>
      <w:r w:rsidRPr="00BF790C">
        <w:rPr>
          <w:rFonts w:ascii="Times New Roman" w:hAnsi="Times New Roman" w:cs="Times New Roman"/>
          <w:sz w:val="24"/>
          <w:szCs w:val="24"/>
        </w:rPr>
        <w:t xml:space="preserve">retirement account </w:t>
      </w:r>
      <w:r w:rsidR="003521A3" w:rsidRPr="00BF790C">
        <w:rPr>
          <w:rFonts w:ascii="Times New Roman" w:hAnsi="Times New Roman" w:cs="Times New Roman"/>
          <w:sz w:val="24"/>
          <w:szCs w:val="24"/>
        </w:rPr>
        <w:t>participation peaks</w:t>
      </w:r>
      <w:r w:rsidR="001A48C1" w:rsidRPr="00BF790C">
        <w:rPr>
          <w:rFonts w:ascii="Times New Roman" w:hAnsi="Times New Roman" w:cs="Times New Roman"/>
          <w:sz w:val="24"/>
          <w:szCs w:val="24"/>
        </w:rPr>
        <w:t xml:space="preserve"> in 1994</w:t>
      </w:r>
      <w:r w:rsidR="003521A3" w:rsidRPr="00BF790C">
        <w:rPr>
          <w:rFonts w:ascii="Times New Roman" w:hAnsi="Times New Roman" w:cs="Times New Roman"/>
          <w:sz w:val="24"/>
          <w:szCs w:val="24"/>
        </w:rPr>
        <w:t xml:space="preserve"> at 62%, </w:t>
      </w:r>
      <w:r w:rsidR="001A48C1" w:rsidRPr="00BF790C">
        <w:rPr>
          <w:rFonts w:ascii="Times New Roman" w:hAnsi="Times New Roman" w:cs="Times New Roman"/>
          <w:sz w:val="24"/>
          <w:szCs w:val="24"/>
        </w:rPr>
        <w:t xml:space="preserve">and then </w:t>
      </w:r>
      <w:r w:rsidR="003521A3" w:rsidRPr="00BF790C">
        <w:rPr>
          <w:rFonts w:ascii="Times New Roman" w:hAnsi="Times New Roman" w:cs="Times New Roman"/>
          <w:sz w:val="24"/>
          <w:szCs w:val="24"/>
        </w:rPr>
        <w:t>bottom</w:t>
      </w:r>
      <w:r w:rsidRPr="00BF790C">
        <w:rPr>
          <w:rFonts w:ascii="Times New Roman" w:hAnsi="Times New Roman" w:cs="Times New Roman"/>
          <w:sz w:val="24"/>
          <w:szCs w:val="24"/>
        </w:rPr>
        <w:t xml:space="preserve">s </w:t>
      </w:r>
      <w:r w:rsidR="003521A3" w:rsidRPr="00BF790C">
        <w:rPr>
          <w:rFonts w:ascii="Times New Roman" w:hAnsi="Times New Roman" w:cs="Times New Roman"/>
          <w:sz w:val="24"/>
          <w:szCs w:val="24"/>
        </w:rPr>
        <w:t xml:space="preserve">out in 2010 at 56.6%. </w:t>
      </w:r>
      <w:r w:rsidR="00FA0012" w:rsidRPr="00BF790C">
        <w:rPr>
          <w:rFonts w:ascii="Times New Roman" w:hAnsi="Times New Roman" w:cs="Times New Roman"/>
          <w:sz w:val="24"/>
          <w:szCs w:val="24"/>
        </w:rPr>
        <w:t xml:space="preserve">In other words, </w:t>
      </w:r>
      <w:r w:rsidR="003521A3" w:rsidRPr="00BF790C">
        <w:rPr>
          <w:rFonts w:ascii="Times New Roman" w:hAnsi="Times New Roman" w:cs="Times New Roman"/>
          <w:sz w:val="24"/>
          <w:szCs w:val="24"/>
        </w:rPr>
        <w:t xml:space="preserve">participation </w:t>
      </w:r>
      <w:r w:rsidR="00FA0012" w:rsidRPr="00BF790C">
        <w:rPr>
          <w:rFonts w:ascii="Times New Roman" w:hAnsi="Times New Roman" w:cs="Times New Roman"/>
          <w:sz w:val="24"/>
          <w:szCs w:val="24"/>
        </w:rPr>
        <w:t xml:space="preserve">in a retirement account through an employer </w:t>
      </w:r>
      <w:r w:rsidRPr="00BF790C">
        <w:rPr>
          <w:rFonts w:ascii="Times New Roman" w:hAnsi="Times New Roman" w:cs="Times New Roman"/>
          <w:sz w:val="24"/>
          <w:szCs w:val="24"/>
        </w:rPr>
        <w:t xml:space="preserve">falls by </w:t>
      </w:r>
      <w:r w:rsidR="003521A3" w:rsidRPr="00BF790C">
        <w:rPr>
          <w:rFonts w:ascii="Times New Roman" w:hAnsi="Times New Roman" w:cs="Times New Roman"/>
          <w:sz w:val="24"/>
          <w:szCs w:val="24"/>
        </w:rPr>
        <w:t xml:space="preserve">6 percentage points, or by 8.96% </w:t>
      </w:r>
      <w:r w:rsidRPr="00BF790C">
        <w:rPr>
          <w:rFonts w:ascii="Times New Roman" w:hAnsi="Times New Roman" w:cs="Times New Roman"/>
          <w:sz w:val="24"/>
          <w:szCs w:val="24"/>
        </w:rPr>
        <w:t>in the SCF</w:t>
      </w:r>
      <w:r w:rsidR="003521A3" w:rsidRPr="00BF790C">
        <w:rPr>
          <w:rFonts w:ascii="Times New Roman" w:hAnsi="Times New Roman" w:cs="Times New Roman"/>
          <w:sz w:val="24"/>
          <w:szCs w:val="24"/>
        </w:rPr>
        <w:t>.</w:t>
      </w:r>
      <w:r w:rsidR="002530C8" w:rsidRPr="00BF790C">
        <w:rPr>
          <w:rStyle w:val="FootnoteReference"/>
          <w:rFonts w:ascii="Times New Roman" w:hAnsi="Times New Roman" w:cs="Times New Roman"/>
          <w:sz w:val="24"/>
          <w:szCs w:val="24"/>
        </w:rPr>
        <w:footnoteReference w:id="4"/>
      </w:r>
    </w:p>
    <w:p w:rsidR="009C2214" w:rsidRDefault="009C2214" w:rsidP="001F00BE">
      <w:pPr>
        <w:pStyle w:val="HTMLPreformatted"/>
        <w:shd w:val="clear" w:color="auto" w:fill="FFFFFF"/>
        <w:spacing w:line="480" w:lineRule="auto"/>
        <w:rPr>
          <w:rFonts w:ascii="Times New Roman" w:hAnsi="Times New Roman" w:cs="Times New Roman"/>
          <w:sz w:val="24"/>
          <w:szCs w:val="24"/>
        </w:rPr>
      </w:pPr>
    </w:p>
    <w:p w:rsidR="009C2214" w:rsidRPr="00BF790C" w:rsidRDefault="009C2214" w:rsidP="001F00BE">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[Figure 2 about here]</w:t>
      </w:r>
    </w:p>
    <w:p w:rsidR="0096364A" w:rsidRPr="00BF790C" w:rsidRDefault="0096364A" w:rsidP="001F00BE">
      <w:pPr>
        <w:spacing w:after="0" w:line="480" w:lineRule="auto"/>
        <w:rPr>
          <w:rFonts w:ascii="Times New Roman" w:hAnsi="Times New Roman" w:cs="Times New Roman"/>
          <w:sz w:val="24"/>
          <w:szCs w:val="24"/>
        </w:rPr>
      </w:pPr>
    </w:p>
    <w:p w:rsidR="004F489F" w:rsidRDefault="00B42F41" w:rsidP="001F00BE">
      <w:pPr>
        <w:spacing w:after="0" w:line="480" w:lineRule="auto"/>
        <w:rPr>
          <w:rStyle w:val="apple-converted-space"/>
          <w:rFonts w:ascii="Times New Roman" w:hAnsi="Times New Roman" w:cs="Times New Roman"/>
          <w:sz w:val="24"/>
          <w:szCs w:val="24"/>
          <w:shd w:val="clear" w:color="auto" w:fill="FFFFFF"/>
        </w:rPr>
      </w:pPr>
      <w:r w:rsidRPr="00BF790C">
        <w:rPr>
          <w:rFonts w:ascii="Times New Roman" w:hAnsi="Times New Roman" w:cs="Times New Roman"/>
          <w:sz w:val="24"/>
          <w:szCs w:val="24"/>
        </w:rPr>
        <w:t xml:space="preserve">The </w:t>
      </w:r>
      <w:r w:rsidR="003521A3" w:rsidRPr="00BF790C">
        <w:rPr>
          <w:rFonts w:ascii="Times New Roman" w:hAnsi="Times New Roman" w:cs="Times New Roman"/>
          <w:sz w:val="24"/>
          <w:szCs w:val="24"/>
        </w:rPr>
        <w:t>Health and Retirement Study (HRS)</w:t>
      </w:r>
      <w:r w:rsidRPr="00BF790C">
        <w:rPr>
          <w:rFonts w:ascii="Times New Roman" w:hAnsi="Times New Roman" w:cs="Times New Roman"/>
          <w:sz w:val="24"/>
          <w:szCs w:val="24"/>
        </w:rPr>
        <w:t xml:space="preserve"> -- </w:t>
      </w:r>
      <w:r w:rsidR="003521A3" w:rsidRPr="00BF790C">
        <w:rPr>
          <w:rFonts w:ascii="Times New Roman" w:hAnsi="Times New Roman" w:cs="Times New Roman"/>
          <w:sz w:val="24"/>
          <w:szCs w:val="24"/>
        </w:rPr>
        <w:t>a biennial household level survey of individuals ages 51 and above from 1992-2010</w:t>
      </w:r>
      <w:r w:rsidRPr="00BF790C">
        <w:rPr>
          <w:rFonts w:ascii="Times New Roman" w:hAnsi="Times New Roman" w:cs="Times New Roman"/>
          <w:sz w:val="24"/>
          <w:szCs w:val="24"/>
        </w:rPr>
        <w:t xml:space="preserve"> -- </w:t>
      </w:r>
      <w:r w:rsidR="005B3DB7" w:rsidRPr="00BF790C">
        <w:rPr>
          <w:rFonts w:ascii="Times New Roman" w:hAnsi="Times New Roman" w:cs="Times New Roman"/>
          <w:sz w:val="24"/>
          <w:szCs w:val="24"/>
          <w:shd w:val="clear" w:color="auto" w:fill="FFFFFF"/>
        </w:rPr>
        <w:t xml:space="preserve">asks respondents who are working if they have a </w:t>
      </w:r>
      <w:r w:rsidRPr="00BF790C">
        <w:rPr>
          <w:rFonts w:ascii="Times New Roman" w:hAnsi="Times New Roman" w:cs="Times New Roman"/>
          <w:sz w:val="24"/>
          <w:szCs w:val="24"/>
          <w:shd w:val="clear" w:color="auto" w:fill="FFFFFF"/>
        </w:rPr>
        <w:t xml:space="preserve">retirement account or </w:t>
      </w:r>
      <w:r w:rsidR="005B3DB7" w:rsidRPr="00BF790C">
        <w:rPr>
          <w:rFonts w:ascii="Times New Roman" w:hAnsi="Times New Roman" w:cs="Times New Roman"/>
          <w:sz w:val="24"/>
          <w:szCs w:val="24"/>
          <w:shd w:val="clear" w:color="auto" w:fill="FFFFFF"/>
        </w:rPr>
        <w:t xml:space="preserve">pension plan </w:t>
      </w:r>
      <w:r w:rsidRPr="00BF790C">
        <w:rPr>
          <w:rFonts w:ascii="Times New Roman" w:hAnsi="Times New Roman" w:cs="Times New Roman"/>
          <w:sz w:val="24"/>
          <w:szCs w:val="24"/>
          <w:shd w:val="clear" w:color="auto" w:fill="FFFFFF"/>
        </w:rPr>
        <w:t xml:space="preserve">at </w:t>
      </w:r>
      <w:r w:rsidR="005B3DB7" w:rsidRPr="00BF790C">
        <w:rPr>
          <w:rFonts w:ascii="Times New Roman" w:hAnsi="Times New Roman" w:cs="Times New Roman"/>
          <w:sz w:val="24"/>
          <w:szCs w:val="24"/>
          <w:shd w:val="clear" w:color="auto" w:fill="FFFFFF"/>
        </w:rPr>
        <w:t>their current job.</w:t>
      </w:r>
      <w:r w:rsidR="005B3DB7" w:rsidRPr="00BF790C">
        <w:rPr>
          <w:rStyle w:val="apple-converted-space"/>
          <w:rFonts w:ascii="Times New Roman" w:hAnsi="Times New Roman" w:cs="Times New Roman"/>
          <w:sz w:val="24"/>
          <w:szCs w:val="24"/>
          <w:shd w:val="clear" w:color="auto" w:fill="FFFFFF"/>
        </w:rPr>
        <w:t xml:space="preserve"> The HRS </w:t>
      </w:r>
      <w:r w:rsidR="00FA0012" w:rsidRPr="00BF790C">
        <w:rPr>
          <w:rStyle w:val="apple-converted-space"/>
          <w:rFonts w:ascii="Times New Roman" w:hAnsi="Times New Roman" w:cs="Times New Roman"/>
          <w:sz w:val="24"/>
          <w:szCs w:val="24"/>
          <w:shd w:val="clear" w:color="auto" w:fill="FFFFFF"/>
        </w:rPr>
        <w:t>data indicates that</w:t>
      </w:r>
      <w:r w:rsidRPr="00BF790C">
        <w:rPr>
          <w:rStyle w:val="apple-converted-space"/>
          <w:rFonts w:ascii="Times New Roman" w:hAnsi="Times New Roman" w:cs="Times New Roman"/>
          <w:sz w:val="24"/>
          <w:szCs w:val="24"/>
          <w:shd w:val="clear" w:color="auto" w:fill="FFFFFF"/>
        </w:rPr>
        <w:t xml:space="preserve"> employer-sponsored retirement plan coverage </w:t>
      </w:r>
      <w:r w:rsidR="005B3DB7" w:rsidRPr="00BF790C">
        <w:rPr>
          <w:rStyle w:val="apple-converted-space"/>
          <w:rFonts w:ascii="Times New Roman" w:hAnsi="Times New Roman" w:cs="Times New Roman"/>
          <w:sz w:val="24"/>
          <w:szCs w:val="24"/>
          <w:shd w:val="clear" w:color="auto" w:fill="FFFFFF"/>
        </w:rPr>
        <w:t>peak</w:t>
      </w:r>
      <w:r w:rsidR="00FA0012" w:rsidRPr="00BF790C">
        <w:rPr>
          <w:rStyle w:val="apple-converted-space"/>
          <w:rFonts w:ascii="Times New Roman" w:hAnsi="Times New Roman" w:cs="Times New Roman"/>
          <w:sz w:val="24"/>
          <w:szCs w:val="24"/>
          <w:shd w:val="clear" w:color="auto" w:fill="FFFFFF"/>
        </w:rPr>
        <w:t>ed</w:t>
      </w:r>
      <w:r w:rsidR="005B3DB7" w:rsidRPr="00BF790C">
        <w:rPr>
          <w:rStyle w:val="apple-converted-space"/>
          <w:rFonts w:ascii="Times New Roman" w:hAnsi="Times New Roman" w:cs="Times New Roman"/>
          <w:sz w:val="24"/>
          <w:szCs w:val="24"/>
          <w:shd w:val="clear" w:color="auto" w:fill="FFFFFF"/>
        </w:rPr>
        <w:t xml:space="preserve"> in 2000 at 59%, and drop</w:t>
      </w:r>
      <w:r w:rsidR="00FA0012" w:rsidRPr="00BF790C">
        <w:rPr>
          <w:rStyle w:val="apple-converted-space"/>
          <w:rFonts w:ascii="Times New Roman" w:hAnsi="Times New Roman" w:cs="Times New Roman"/>
          <w:sz w:val="24"/>
          <w:szCs w:val="24"/>
          <w:shd w:val="clear" w:color="auto" w:fill="FFFFFF"/>
        </w:rPr>
        <w:t>ped</w:t>
      </w:r>
      <w:r w:rsidR="005B3DB7" w:rsidRPr="00BF790C">
        <w:rPr>
          <w:rStyle w:val="apple-converted-space"/>
          <w:rFonts w:ascii="Times New Roman" w:hAnsi="Times New Roman" w:cs="Times New Roman"/>
          <w:sz w:val="24"/>
          <w:szCs w:val="24"/>
          <w:shd w:val="clear" w:color="auto" w:fill="FFFFFF"/>
        </w:rPr>
        <w:t xml:space="preserve"> </w:t>
      </w:r>
      <w:r w:rsidRPr="00BF790C">
        <w:rPr>
          <w:rStyle w:val="apple-converted-space"/>
          <w:rFonts w:ascii="Times New Roman" w:hAnsi="Times New Roman" w:cs="Times New Roman"/>
          <w:sz w:val="24"/>
          <w:szCs w:val="24"/>
          <w:shd w:val="clear" w:color="auto" w:fill="FFFFFF"/>
        </w:rPr>
        <w:t xml:space="preserve">to </w:t>
      </w:r>
      <w:r w:rsidR="00FA0012" w:rsidRPr="00BF790C">
        <w:rPr>
          <w:rStyle w:val="apple-converted-space"/>
          <w:rFonts w:ascii="Times New Roman" w:hAnsi="Times New Roman" w:cs="Times New Roman"/>
          <w:sz w:val="24"/>
          <w:szCs w:val="24"/>
          <w:shd w:val="clear" w:color="auto" w:fill="FFFFFF"/>
        </w:rPr>
        <w:t>53.5% by</w:t>
      </w:r>
      <w:r w:rsidR="005B3DB7" w:rsidRPr="00BF790C">
        <w:rPr>
          <w:rStyle w:val="apple-converted-space"/>
          <w:rFonts w:ascii="Times New Roman" w:hAnsi="Times New Roman" w:cs="Times New Roman"/>
          <w:sz w:val="24"/>
          <w:szCs w:val="24"/>
          <w:shd w:val="clear" w:color="auto" w:fill="FFFFFF"/>
        </w:rPr>
        <w:t xml:space="preserve"> 2010. The total drop </w:t>
      </w:r>
      <w:r w:rsidR="00FA0012" w:rsidRPr="00BF790C">
        <w:rPr>
          <w:rStyle w:val="apple-converted-space"/>
          <w:rFonts w:ascii="Times New Roman" w:hAnsi="Times New Roman" w:cs="Times New Roman"/>
          <w:sz w:val="24"/>
          <w:szCs w:val="24"/>
          <w:shd w:val="clear" w:color="auto" w:fill="FFFFFF"/>
        </w:rPr>
        <w:t xml:space="preserve">in employer sponsored retirement account coverage </w:t>
      </w:r>
      <w:r w:rsidR="005B3DB7" w:rsidRPr="00BF790C">
        <w:rPr>
          <w:rStyle w:val="apple-converted-space"/>
          <w:rFonts w:ascii="Times New Roman" w:hAnsi="Times New Roman" w:cs="Times New Roman"/>
          <w:sz w:val="24"/>
          <w:szCs w:val="24"/>
          <w:shd w:val="clear" w:color="auto" w:fill="FFFFFF"/>
        </w:rPr>
        <w:t xml:space="preserve">is 6 percentage points, or 10% </w:t>
      </w:r>
      <w:r w:rsidR="00FA0012" w:rsidRPr="00BF790C">
        <w:rPr>
          <w:rStyle w:val="apple-converted-space"/>
          <w:rFonts w:ascii="Times New Roman" w:hAnsi="Times New Roman" w:cs="Times New Roman"/>
          <w:sz w:val="24"/>
          <w:szCs w:val="24"/>
          <w:shd w:val="clear" w:color="auto" w:fill="FFFFFF"/>
        </w:rPr>
        <w:t>in the HRS</w:t>
      </w:r>
      <w:r w:rsidR="005B3DB7" w:rsidRPr="00BF790C">
        <w:rPr>
          <w:rStyle w:val="apple-converted-space"/>
          <w:rFonts w:ascii="Times New Roman" w:hAnsi="Times New Roman" w:cs="Times New Roman"/>
          <w:sz w:val="24"/>
          <w:szCs w:val="24"/>
          <w:shd w:val="clear" w:color="auto" w:fill="FFFFFF"/>
        </w:rPr>
        <w:t xml:space="preserve">. </w:t>
      </w:r>
    </w:p>
    <w:p w:rsidR="009C2214" w:rsidRDefault="009C2214" w:rsidP="001F00BE">
      <w:pPr>
        <w:spacing w:after="0" w:line="480" w:lineRule="auto"/>
        <w:rPr>
          <w:rStyle w:val="apple-converted-space"/>
          <w:rFonts w:ascii="Times New Roman" w:hAnsi="Times New Roman" w:cs="Times New Roman"/>
          <w:sz w:val="24"/>
          <w:szCs w:val="24"/>
          <w:shd w:val="clear" w:color="auto" w:fill="FFFFFF"/>
        </w:rPr>
      </w:pPr>
    </w:p>
    <w:p w:rsidR="009C2214" w:rsidRPr="00BF790C" w:rsidRDefault="009C2214" w:rsidP="001F00BE">
      <w:pPr>
        <w:spacing w:after="0" w:line="48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[Figure 3 about here]</w:t>
      </w:r>
    </w:p>
    <w:p w:rsidR="009C2214" w:rsidRDefault="009C2214" w:rsidP="001F00BE">
      <w:pPr>
        <w:spacing w:line="480" w:lineRule="auto"/>
        <w:rPr>
          <w:rStyle w:val="apple-converted-space"/>
          <w:rFonts w:ascii="Times New Roman" w:hAnsi="Times New Roman" w:cs="Times New Roman"/>
          <w:color w:val="222222"/>
          <w:sz w:val="24"/>
          <w:szCs w:val="24"/>
          <w:shd w:val="clear" w:color="auto" w:fill="FFFFFF"/>
        </w:rPr>
      </w:pPr>
    </w:p>
    <w:p w:rsidR="004F489F" w:rsidRDefault="002530C8" w:rsidP="001F00BE">
      <w:pPr>
        <w:spacing w:line="480" w:lineRule="auto"/>
        <w:rPr>
          <w:rStyle w:val="apple-converted-space"/>
          <w:rFonts w:ascii="Times New Roman" w:hAnsi="Times New Roman" w:cs="Times New Roman"/>
          <w:color w:val="222222"/>
          <w:sz w:val="24"/>
          <w:szCs w:val="24"/>
          <w:shd w:val="clear" w:color="auto" w:fill="FFFFFF"/>
        </w:rPr>
      </w:pPr>
      <w:r w:rsidRPr="00BF790C">
        <w:rPr>
          <w:rStyle w:val="apple-converted-space"/>
          <w:rFonts w:ascii="Times New Roman" w:hAnsi="Times New Roman" w:cs="Times New Roman"/>
          <w:color w:val="222222"/>
          <w:sz w:val="24"/>
          <w:szCs w:val="24"/>
          <w:shd w:val="clear" w:color="auto" w:fill="FFFFFF"/>
        </w:rPr>
        <w:t>As mentioned above</w:t>
      </w:r>
      <w:r w:rsidR="00F52FDF" w:rsidRPr="00BF790C">
        <w:rPr>
          <w:rStyle w:val="apple-converted-space"/>
          <w:rFonts w:ascii="Times New Roman" w:hAnsi="Times New Roman" w:cs="Times New Roman"/>
          <w:color w:val="222222"/>
          <w:sz w:val="24"/>
          <w:szCs w:val="24"/>
          <w:shd w:val="clear" w:color="auto" w:fill="FFFFFF"/>
        </w:rPr>
        <w:t>,</w:t>
      </w:r>
      <w:r w:rsidRPr="00BF790C">
        <w:rPr>
          <w:rStyle w:val="apple-converted-space"/>
          <w:rFonts w:ascii="Times New Roman" w:hAnsi="Times New Roman" w:cs="Times New Roman"/>
          <w:color w:val="222222"/>
          <w:sz w:val="24"/>
          <w:szCs w:val="24"/>
          <w:shd w:val="clear" w:color="auto" w:fill="FFFFFF"/>
        </w:rPr>
        <w:t xml:space="preserve"> the decline </w:t>
      </w:r>
      <w:r w:rsidR="004F489F" w:rsidRPr="00BF790C">
        <w:rPr>
          <w:rStyle w:val="apple-converted-space"/>
          <w:rFonts w:ascii="Times New Roman" w:hAnsi="Times New Roman" w:cs="Times New Roman"/>
          <w:color w:val="222222"/>
          <w:sz w:val="24"/>
          <w:szCs w:val="24"/>
          <w:shd w:val="clear" w:color="auto" w:fill="FFFFFF"/>
        </w:rPr>
        <w:t>in sponsorship rates varie</w:t>
      </w:r>
      <w:r w:rsidR="00B42F41" w:rsidRPr="00BF790C">
        <w:rPr>
          <w:rStyle w:val="apple-converted-space"/>
          <w:rFonts w:ascii="Times New Roman" w:hAnsi="Times New Roman" w:cs="Times New Roman"/>
          <w:color w:val="222222"/>
          <w:sz w:val="24"/>
          <w:szCs w:val="24"/>
          <w:shd w:val="clear" w:color="auto" w:fill="FFFFFF"/>
        </w:rPr>
        <w:t>s</w:t>
      </w:r>
      <w:r w:rsidR="004F489F" w:rsidRPr="00BF790C">
        <w:rPr>
          <w:rStyle w:val="apple-converted-space"/>
          <w:rFonts w:ascii="Times New Roman" w:hAnsi="Times New Roman" w:cs="Times New Roman"/>
          <w:color w:val="222222"/>
          <w:sz w:val="24"/>
          <w:szCs w:val="24"/>
          <w:shd w:val="clear" w:color="auto" w:fill="FFFFFF"/>
        </w:rPr>
        <w:t xml:space="preserve"> dramatically across states, with Georgia, Michigan and New Jersey suffering a drop of 11-14 percentage points, while Oregon, South Dakota and Kansas had a more limited decli</w:t>
      </w:r>
      <w:r w:rsidR="009C2214">
        <w:rPr>
          <w:rStyle w:val="apple-converted-space"/>
          <w:rFonts w:ascii="Times New Roman" w:hAnsi="Times New Roman" w:cs="Times New Roman"/>
          <w:color w:val="222222"/>
          <w:sz w:val="24"/>
          <w:szCs w:val="24"/>
          <w:shd w:val="clear" w:color="auto" w:fill="FFFFFF"/>
        </w:rPr>
        <w:t>ne of 1.5-0.9 percentage points.</w:t>
      </w:r>
      <w:r w:rsidR="00733C6E" w:rsidRPr="00BF790C">
        <w:rPr>
          <w:rStyle w:val="apple-converted-space"/>
          <w:rFonts w:ascii="Times New Roman" w:hAnsi="Times New Roman" w:cs="Times New Roman"/>
          <w:color w:val="222222"/>
          <w:sz w:val="24"/>
          <w:szCs w:val="24"/>
          <w:shd w:val="clear" w:color="auto" w:fill="FFFFFF"/>
        </w:rPr>
        <w:t xml:space="preserve"> </w:t>
      </w:r>
      <w:r w:rsidR="003226D9" w:rsidRPr="00BF790C">
        <w:rPr>
          <w:rStyle w:val="apple-converted-space"/>
          <w:rFonts w:ascii="Times New Roman" w:hAnsi="Times New Roman" w:cs="Times New Roman"/>
          <w:color w:val="222222"/>
          <w:sz w:val="24"/>
          <w:szCs w:val="24"/>
          <w:shd w:val="clear" w:color="auto" w:fill="FFFFFF"/>
        </w:rPr>
        <w:t xml:space="preserve">Because of the enormous variation in pension sponsorship </w:t>
      </w:r>
      <w:r w:rsidR="000E7184" w:rsidRPr="00BF790C">
        <w:rPr>
          <w:rStyle w:val="apple-converted-space"/>
          <w:rFonts w:ascii="Times New Roman" w:hAnsi="Times New Roman" w:cs="Times New Roman"/>
          <w:color w:val="222222"/>
          <w:sz w:val="24"/>
          <w:szCs w:val="24"/>
          <w:shd w:val="clear" w:color="auto" w:fill="FFFFFF"/>
        </w:rPr>
        <w:t>levels and changes</w:t>
      </w:r>
      <w:r w:rsidR="003226D9" w:rsidRPr="00BF790C">
        <w:rPr>
          <w:rStyle w:val="apple-converted-space"/>
          <w:rFonts w:ascii="Times New Roman" w:hAnsi="Times New Roman" w:cs="Times New Roman"/>
          <w:color w:val="222222"/>
          <w:sz w:val="24"/>
          <w:szCs w:val="24"/>
          <w:shd w:val="clear" w:color="auto" w:fill="FFFFFF"/>
        </w:rPr>
        <w:t xml:space="preserve"> across states, we suspect that there </w:t>
      </w:r>
      <w:r w:rsidR="00BA08F3" w:rsidRPr="00BF790C">
        <w:rPr>
          <w:rStyle w:val="apple-converted-space"/>
          <w:rFonts w:ascii="Times New Roman" w:hAnsi="Times New Roman" w:cs="Times New Roman"/>
          <w:color w:val="222222"/>
          <w:sz w:val="24"/>
          <w:szCs w:val="24"/>
          <w:shd w:val="clear" w:color="auto" w:fill="FFFFFF"/>
        </w:rPr>
        <w:t>are</w:t>
      </w:r>
      <w:r w:rsidR="003226D9" w:rsidRPr="00BF790C">
        <w:rPr>
          <w:rStyle w:val="apple-converted-space"/>
          <w:rFonts w:ascii="Times New Roman" w:hAnsi="Times New Roman" w:cs="Times New Roman"/>
          <w:color w:val="222222"/>
          <w:sz w:val="24"/>
          <w:szCs w:val="24"/>
          <w:shd w:val="clear" w:color="auto" w:fill="FFFFFF"/>
        </w:rPr>
        <w:t xml:space="preserve"> state specific element</w:t>
      </w:r>
      <w:r w:rsidR="00B42F41" w:rsidRPr="00BF790C">
        <w:rPr>
          <w:rStyle w:val="apple-converted-space"/>
          <w:rFonts w:ascii="Times New Roman" w:hAnsi="Times New Roman" w:cs="Times New Roman"/>
          <w:color w:val="222222"/>
          <w:sz w:val="24"/>
          <w:szCs w:val="24"/>
          <w:shd w:val="clear" w:color="auto" w:fill="FFFFFF"/>
        </w:rPr>
        <w:t>s</w:t>
      </w:r>
      <w:r w:rsidR="000E7184" w:rsidRPr="00BF790C">
        <w:rPr>
          <w:rStyle w:val="apple-converted-space"/>
          <w:rFonts w:ascii="Times New Roman" w:hAnsi="Times New Roman" w:cs="Times New Roman"/>
          <w:color w:val="222222"/>
          <w:sz w:val="24"/>
          <w:szCs w:val="24"/>
          <w:shd w:val="clear" w:color="auto" w:fill="FFFFFF"/>
        </w:rPr>
        <w:t xml:space="preserve"> that determine</w:t>
      </w:r>
      <w:r w:rsidR="003226D9" w:rsidRPr="00BF790C">
        <w:rPr>
          <w:rStyle w:val="apple-converted-space"/>
          <w:rFonts w:ascii="Times New Roman" w:hAnsi="Times New Roman" w:cs="Times New Roman"/>
          <w:color w:val="222222"/>
          <w:sz w:val="24"/>
          <w:szCs w:val="24"/>
          <w:shd w:val="clear" w:color="auto" w:fill="FFFFFF"/>
        </w:rPr>
        <w:t xml:space="preserve"> pension sponsorship. </w:t>
      </w:r>
    </w:p>
    <w:p w:rsidR="009C2214" w:rsidRPr="00BF790C" w:rsidRDefault="009C2214" w:rsidP="001F00BE">
      <w:pPr>
        <w:spacing w:line="480" w:lineRule="auto"/>
        <w:rPr>
          <w:rStyle w:val="apple-converted-space"/>
          <w:rFonts w:ascii="Times New Roman" w:hAnsi="Times New Roman" w:cs="Times New Roman"/>
          <w:sz w:val="24"/>
          <w:szCs w:val="24"/>
        </w:rPr>
      </w:pPr>
      <w:r>
        <w:rPr>
          <w:rStyle w:val="apple-converted-space"/>
          <w:rFonts w:ascii="Times New Roman" w:hAnsi="Times New Roman" w:cs="Times New Roman"/>
          <w:color w:val="222222"/>
          <w:sz w:val="24"/>
          <w:szCs w:val="24"/>
          <w:shd w:val="clear" w:color="auto" w:fill="FFFFFF"/>
        </w:rPr>
        <w:t>[Table 1 about here]</w:t>
      </w:r>
    </w:p>
    <w:p w:rsidR="00E05A79" w:rsidRPr="00BF790C" w:rsidRDefault="00E05A79" w:rsidP="001F00BE">
      <w:pPr>
        <w:spacing w:line="480" w:lineRule="auto"/>
        <w:rPr>
          <w:rFonts w:ascii="Times New Roman" w:hAnsi="Times New Roman" w:cs="Times New Roman"/>
          <w:color w:val="222222"/>
          <w:sz w:val="24"/>
          <w:szCs w:val="24"/>
          <w:shd w:val="clear" w:color="auto" w:fill="FFFFFF"/>
        </w:rPr>
      </w:pPr>
    </w:p>
    <w:p w:rsidR="004F489F" w:rsidRPr="00BF790C" w:rsidRDefault="00BE1A6B" w:rsidP="001F00BE">
      <w:pPr>
        <w:spacing w:line="480" w:lineRule="auto"/>
        <w:rPr>
          <w:rFonts w:ascii="Times New Roman" w:hAnsi="Times New Roman" w:cs="Times New Roman"/>
          <w:b/>
          <w:sz w:val="24"/>
          <w:szCs w:val="24"/>
        </w:rPr>
      </w:pPr>
      <w:r w:rsidRPr="00BF790C">
        <w:rPr>
          <w:rFonts w:ascii="Times New Roman" w:hAnsi="Times New Roman" w:cs="Times New Roman"/>
          <w:b/>
          <w:sz w:val="24"/>
          <w:szCs w:val="24"/>
        </w:rPr>
        <w:t>1B. LITERATURE REVIEW</w:t>
      </w:r>
    </w:p>
    <w:p w:rsidR="00A32C51" w:rsidRPr="00BF790C" w:rsidRDefault="00A32C51"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Using a </w:t>
      </w:r>
      <w:proofErr w:type="spellStart"/>
      <w:r w:rsidRPr="00BF790C">
        <w:rPr>
          <w:rFonts w:ascii="Times New Roman" w:hAnsi="Times New Roman" w:cs="Times New Roman"/>
          <w:sz w:val="24"/>
          <w:szCs w:val="24"/>
        </w:rPr>
        <w:t>Probit</w:t>
      </w:r>
      <w:proofErr w:type="spellEnd"/>
      <w:r w:rsidRPr="00BF790C">
        <w:rPr>
          <w:rFonts w:ascii="Times New Roman" w:hAnsi="Times New Roman" w:cs="Times New Roman"/>
          <w:sz w:val="24"/>
          <w:szCs w:val="24"/>
        </w:rPr>
        <w:t xml:space="preserve"> model and an Oaxaca-Blinder decomposition, </w:t>
      </w:r>
      <w:r w:rsidR="002765C4" w:rsidRPr="00BF790C">
        <w:rPr>
          <w:rFonts w:ascii="Times New Roman" w:hAnsi="Times New Roman" w:cs="Times New Roman"/>
          <w:sz w:val="24"/>
          <w:szCs w:val="24"/>
        </w:rPr>
        <w:t xml:space="preserve">Even and </w:t>
      </w:r>
      <w:proofErr w:type="spellStart"/>
      <w:r w:rsidR="002765C4" w:rsidRPr="00BF790C">
        <w:rPr>
          <w:rFonts w:ascii="Times New Roman" w:hAnsi="Times New Roman" w:cs="Times New Roman"/>
          <w:sz w:val="24"/>
          <w:szCs w:val="24"/>
        </w:rPr>
        <w:t>MacPherson</w:t>
      </w:r>
      <w:proofErr w:type="spellEnd"/>
      <w:r w:rsidR="002765C4" w:rsidRPr="00BF790C">
        <w:rPr>
          <w:rFonts w:ascii="Times New Roman" w:hAnsi="Times New Roman" w:cs="Times New Roman"/>
          <w:sz w:val="24"/>
          <w:szCs w:val="24"/>
        </w:rPr>
        <w:t xml:space="preserve"> (1994, 2000) f</w:t>
      </w:r>
      <w:r w:rsidR="001A48C1" w:rsidRPr="00BF790C">
        <w:rPr>
          <w:rFonts w:ascii="Times New Roman" w:hAnsi="Times New Roman" w:cs="Times New Roman"/>
          <w:sz w:val="24"/>
          <w:szCs w:val="24"/>
        </w:rPr>
        <w:t>ind</w:t>
      </w:r>
      <w:r w:rsidR="002765C4" w:rsidRPr="00BF790C">
        <w:rPr>
          <w:rFonts w:ascii="Times New Roman" w:hAnsi="Times New Roman" w:cs="Times New Roman"/>
          <w:sz w:val="24"/>
          <w:szCs w:val="24"/>
        </w:rPr>
        <w:t xml:space="preserve"> that differences in </w:t>
      </w:r>
      <w:r w:rsidR="007125D3" w:rsidRPr="00BF790C">
        <w:rPr>
          <w:rFonts w:ascii="Times New Roman" w:hAnsi="Times New Roman" w:cs="Times New Roman"/>
          <w:sz w:val="24"/>
          <w:szCs w:val="24"/>
        </w:rPr>
        <w:t xml:space="preserve">worker and </w:t>
      </w:r>
      <w:r w:rsidR="006C0553" w:rsidRPr="00BF790C">
        <w:rPr>
          <w:rFonts w:ascii="Times New Roman" w:hAnsi="Times New Roman" w:cs="Times New Roman"/>
          <w:sz w:val="24"/>
          <w:szCs w:val="24"/>
        </w:rPr>
        <w:t>firm</w:t>
      </w:r>
      <w:r w:rsidR="002765C4" w:rsidRPr="00BF790C">
        <w:rPr>
          <w:rFonts w:ascii="Times New Roman" w:hAnsi="Times New Roman" w:cs="Times New Roman"/>
          <w:sz w:val="24"/>
          <w:szCs w:val="24"/>
        </w:rPr>
        <w:t xml:space="preserve"> characteristics </w:t>
      </w:r>
      <w:r w:rsidR="007125D3" w:rsidRPr="00BF790C">
        <w:rPr>
          <w:rFonts w:ascii="Times New Roman" w:hAnsi="Times New Roman" w:cs="Times New Roman"/>
          <w:sz w:val="24"/>
          <w:szCs w:val="24"/>
        </w:rPr>
        <w:t xml:space="preserve">-- </w:t>
      </w:r>
      <w:r w:rsidR="002765C4" w:rsidRPr="00BF790C">
        <w:rPr>
          <w:rFonts w:ascii="Times New Roman" w:hAnsi="Times New Roman" w:cs="Times New Roman"/>
          <w:sz w:val="24"/>
          <w:szCs w:val="24"/>
        </w:rPr>
        <w:t xml:space="preserve">gender, education and firm size </w:t>
      </w:r>
      <w:r w:rsidR="007125D3" w:rsidRPr="00BF790C">
        <w:rPr>
          <w:rFonts w:ascii="Times New Roman" w:hAnsi="Times New Roman" w:cs="Times New Roman"/>
          <w:sz w:val="24"/>
          <w:szCs w:val="24"/>
        </w:rPr>
        <w:t xml:space="preserve">-- </w:t>
      </w:r>
      <w:r w:rsidR="002765C4" w:rsidRPr="00BF790C">
        <w:rPr>
          <w:rFonts w:ascii="Times New Roman" w:hAnsi="Times New Roman" w:cs="Times New Roman"/>
          <w:sz w:val="24"/>
          <w:szCs w:val="24"/>
        </w:rPr>
        <w:t xml:space="preserve">account for virtually all the changing distribution of </w:t>
      </w:r>
      <w:r w:rsidR="00914FFC" w:rsidRPr="00BF790C">
        <w:rPr>
          <w:rFonts w:ascii="Times New Roman" w:hAnsi="Times New Roman" w:cs="Times New Roman"/>
          <w:sz w:val="24"/>
          <w:szCs w:val="24"/>
        </w:rPr>
        <w:t xml:space="preserve">retirement account </w:t>
      </w:r>
      <w:r w:rsidR="002765C4" w:rsidRPr="00BF790C">
        <w:rPr>
          <w:rFonts w:ascii="Times New Roman" w:hAnsi="Times New Roman" w:cs="Times New Roman"/>
          <w:sz w:val="24"/>
          <w:szCs w:val="24"/>
        </w:rPr>
        <w:t xml:space="preserve">coverage between 1979 and 1993.  </w:t>
      </w:r>
      <w:r w:rsidR="00B42F41" w:rsidRPr="00BF790C">
        <w:rPr>
          <w:rFonts w:ascii="Times New Roman" w:hAnsi="Times New Roman" w:cs="Times New Roman"/>
          <w:sz w:val="24"/>
          <w:szCs w:val="24"/>
        </w:rPr>
        <w:t xml:space="preserve">In a later paper, Even </w:t>
      </w:r>
      <w:r w:rsidR="00BD10D0">
        <w:rPr>
          <w:rFonts w:ascii="Times New Roman" w:hAnsi="Times New Roman" w:cs="Times New Roman"/>
          <w:sz w:val="24"/>
          <w:szCs w:val="24"/>
        </w:rPr>
        <w:t>et al.</w:t>
      </w:r>
      <w:r w:rsidR="00B42F41" w:rsidRPr="00BF790C">
        <w:rPr>
          <w:rFonts w:ascii="Times New Roman" w:hAnsi="Times New Roman" w:cs="Times New Roman"/>
          <w:sz w:val="24"/>
          <w:szCs w:val="24"/>
        </w:rPr>
        <w:t xml:space="preserve"> (2008) attributed most of the drop </w:t>
      </w:r>
      <w:r w:rsidR="00914FFC" w:rsidRPr="00BF790C">
        <w:rPr>
          <w:rFonts w:ascii="Times New Roman" w:hAnsi="Times New Roman" w:cs="Times New Roman"/>
          <w:sz w:val="24"/>
          <w:szCs w:val="24"/>
        </w:rPr>
        <w:t xml:space="preserve">in retirement account sponsorship </w:t>
      </w:r>
      <w:r w:rsidR="00B42F41" w:rsidRPr="00BF790C">
        <w:rPr>
          <w:rFonts w:ascii="Times New Roman" w:hAnsi="Times New Roman" w:cs="Times New Roman"/>
          <w:sz w:val="24"/>
          <w:szCs w:val="24"/>
        </w:rPr>
        <w:t xml:space="preserve">to </w:t>
      </w:r>
      <w:r w:rsidR="007125D3" w:rsidRPr="00BF790C">
        <w:rPr>
          <w:rFonts w:ascii="Times New Roman" w:hAnsi="Times New Roman" w:cs="Times New Roman"/>
          <w:sz w:val="24"/>
          <w:szCs w:val="24"/>
        </w:rPr>
        <w:t xml:space="preserve">more employees working for </w:t>
      </w:r>
      <w:r w:rsidR="00B42F41" w:rsidRPr="00BF790C">
        <w:rPr>
          <w:rFonts w:ascii="Times New Roman" w:hAnsi="Times New Roman" w:cs="Times New Roman"/>
          <w:sz w:val="24"/>
          <w:szCs w:val="24"/>
        </w:rPr>
        <w:t>small firms</w:t>
      </w:r>
      <w:r w:rsidR="007125D3" w:rsidRPr="00BF790C">
        <w:rPr>
          <w:rFonts w:ascii="Times New Roman" w:hAnsi="Times New Roman" w:cs="Times New Roman"/>
          <w:sz w:val="24"/>
          <w:szCs w:val="24"/>
        </w:rPr>
        <w:t xml:space="preserve"> which are less likely to provide employee benefits</w:t>
      </w:r>
      <w:r w:rsidR="00B42F41" w:rsidRPr="00BF790C">
        <w:rPr>
          <w:rFonts w:ascii="Times New Roman" w:hAnsi="Times New Roman" w:cs="Times New Roman"/>
          <w:sz w:val="24"/>
          <w:szCs w:val="24"/>
        </w:rPr>
        <w:t xml:space="preserve">. </w:t>
      </w:r>
      <w:r w:rsidR="002765C4" w:rsidRPr="00BF790C">
        <w:rPr>
          <w:rFonts w:ascii="Times New Roman" w:hAnsi="Times New Roman" w:cs="Times New Roman"/>
          <w:sz w:val="24"/>
          <w:szCs w:val="24"/>
        </w:rPr>
        <w:t xml:space="preserve">Parsons (1991) </w:t>
      </w:r>
      <w:r w:rsidR="007125D3" w:rsidRPr="00BF790C">
        <w:rPr>
          <w:rFonts w:ascii="Times New Roman" w:hAnsi="Times New Roman" w:cs="Times New Roman"/>
          <w:sz w:val="24"/>
          <w:szCs w:val="24"/>
        </w:rPr>
        <w:t xml:space="preserve">echoed similar studies in the 1980s </w:t>
      </w:r>
      <w:r w:rsidR="002765C4" w:rsidRPr="00BF790C">
        <w:rPr>
          <w:rFonts w:ascii="Times New Roman" w:hAnsi="Times New Roman" w:cs="Times New Roman"/>
          <w:sz w:val="24"/>
          <w:szCs w:val="24"/>
        </w:rPr>
        <w:t xml:space="preserve">that </w:t>
      </w:r>
      <w:r w:rsidR="00A50745" w:rsidRPr="00BF790C">
        <w:rPr>
          <w:rFonts w:ascii="Times New Roman" w:hAnsi="Times New Roman" w:cs="Times New Roman"/>
          <w:sz w:val="24"/>
          <w:szCs w:val="24"/>
        </w:rPr>
        <w:t>changes in pension coverage were</w:t>
      </w:r>
      <w:r w:rsidR="007125D3" w:rsidRPr="00BF790C">
        <w:rPr>
          <w:rFonts w:ascii="Times New Roman" w:hAnsi="Times New Roman" w:cs="Times New Roman"/>
          <w:sz w:val="24"/>
          <w:szCs w:val="24"/>
        </w:rPr>
        <w:t xml:space="preserve"> mainly due to industrial mix; Parsons found that </w:t>
      </w:r>
      <w:r w:rsidR="002765C4" w:rsidRPr="00BF790C">
        <w:rPr>
          <w:rFonts w:ascii="Times New Roman" w:hAnsi="Times New Roman" w:cs="Times New Roman"/>
          <w:sz w:val="24"/>
          <w:szCs w:val="24"/>
        </w:rPr>
        <w:t>approximately 10 percent decline</w:t>
      </w:r>
      <w:r w:rsidR="00AC3C3F" w:rsidRPr="00BF790C">
        <w:rPr>
          <w:rFonts w:ascii="Times New Roman" w:hAnsi="Times New Roman" w:cs="Times New Roman"/>
          <w:sz w:val="24"/>
          <w:szCs w:val="24"/>
        </w:rPr>
        <w:t xml:space="preserve"> in sponsorship rates</w:t>
      </w:r>
      <w:r w:rsidR="002765C4" w:rsidRPr="00BF790C">
        <w:rPr>
          <w:rFonts w:ascii="Times New Roman" w:hAnsi="Times New Roman" w:cs="Times New Roman"/>
          <w:sz w:val="24"/>
          <w:szCs w:val="24"/>
        </w:rPr>
        <w:t xml:space="preserve"> </w:t>
      </w:r>
      <w:r w:rsidR="00AC3C3F" w:rsidRPr="00BF790C">
        <w:rPr>
          <w:rFonts w:ascii="Times New Roman" w:hAnsi="Times New Roman" w:cs="Times New Roman"/>
          <w:sz w:val="24"/>
          <w:szCs w:val="24"/>
        </w:rPr>
        <w:t>over</w:t>
      </w:r>
      <w:r w:rsidR="002765C4" w:rsidRPr="00BF790C">
        <w:rPr>
          <w:rFonts w:ascii="Times New Roman" w:hAnsi="Times New Roman" w:cs="Times New Roman"/>
          <w:sz w:val="24"/>
          <w:szCs w:val="24"/>
        </w:rPr>
        <w:t xml:space="preserve"> the 1979-1987 period was primarily due to sectoral shifts in industrial activity.</w:t>
      </w:r>
      <w:r w:rsidR="00C412C0" w:rsidRPr="00BF790C">
        <w:rPr>
          <w:rFonts w:ascii="Times New Roman" w:hAnsi="Times New Roman" w:cs="Times New Roman"/>
          <w:sz w:val="24"/>
          <w:szCs w:val="24"/>
        </w:rPr>
        <w:t xml:space="preserve"> </w:t>
      </w:r>
    </w:p>
    <w:p w:rsidR="002530C8" w:rsidRPr="00BF790C" w:rsidRDefault="002765C4"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Aaronson and Coronado (2005) </w:t>
      </w:r>
      <w:r w:rsidR="00D56C8A" w:rsidRPr="00BF790C">
        <w:rPr>
          <w:rFonts w:ascii="Times New Roman" w:hAnsi="Times New Roman" w:cs="Times New Roman"/>
          <w:sz w:val="24"/>
          <w:szCs w:val="24"/>
        </w:rPr>
        <w:t xml:space="preserve">focus on firm’s motivations and </w:t>
      </w:r>
      <w:r w:rsidR="00A32C51" w:rsidRPr="00BF790C">
        <w:rPr>
          <w:rFonts w:ascii="Times New Roman" w:hAnsi="Times New Roman" w:cs="Times New Roman"/>
          <w:sz w:val="24"/>
          <w:szCs w:val="24"/>
        </w:rPr>
        <w:t xml:space="preserve">apply a modeling approach to understand a firm’s decision to offer access to a retirement plan to their workers. They </w:t>
      </w:r>
      <w:r w:rsidRPr="00BF790C">
        <w:rPr>
          <w:rFonts w:ascii="Times New Roman" w:hAnsi="Times New Roman" w:cs="Times New Roman"/>
          <w:sz w:val="24"/>
          <w:szCs w:val="24"/>
        </w:rPr>
        <w:t xml:space="preserve">find that while factors such as ERISA regulation and increased longevity explain a large part of the </w:t>
      </w:r>
      <w:r w:rsidR="00D56C8A" w:rsidRPr="00BF790C">
        <w:rPr>
          <w:rFonts w:ascii="Times New Roman" w:hAnsi="Times New Roman" w:cs="Times New Roman"/>
          <w:sz w:val="24"/>
          <w:szCs w:val="24"/>
        </w:rPr>
        <w:t xml:space="preserve">switch </w:t>
      </w:r>
      <w:r w:rsidRPr="00BF790C">
        <w:rPr>
          <w:rFonts w:ascii="Times New Roman" w:hAnsi="Times New Roman" w:cs="Times New Roman"/>
          <w:sz w:val="24"/>
          <w:szCs w:val="24"/>
        </w:rPr>
        <w:t xml:space="preserve">from DB to DC plans, changing workforce characteristics and production processes that use less-specific skills increased employer demand for 401(k)-type </w:t>
      </w:r>
      <w:r w:rsidR="00D56C8A" w:rsidRPr="00BF790C">
        <w:rPr>
          <w:rFonts w:ascii="Times New Roman" w:hAnsi="Times New Roman" w:cs="Times New Roman"/>
          <w:sz w:val="24"/>
          <w:szCs w:val="24"/>
        </w:rPr>
        <w:t xml:space="preserve">DC </w:t>
      </w:r>
      <w:r w:rsidRPr="00BF790C">
        <w:rPr>
          <w:rFonts w:ascii="Times New Roman" w:hAnsi="Times New Roman" w:cs="Times New Roman"/>
          <w:sz w:val="24"/>
          <w:szCs w:val="24"/>
        </w:rPr>
        <w:t>plans</w:t>
      </w:r>
      <w:r w:rsidR="00AC3C3F" w:rsidRPr="00BF790C">
        <w:rPr>
          <w:rFonts w:ascii="Times New Roman" w:hAnsi="Times New Roman" w:cs="Times New Roman"/>
          <w:sz w:val="24"/>
          <w:szCs w:val="24"/>
        </w:rPr>
        <w:t xml:space="preserve">. </w:t>
      </w:r>
      <w:r w:rsidR="002530C8" w:rsidRPr="00BF790C">
        <w:rPr>
          <w:rStyle w:val="FootnoteReference"/>
          <w:rFonts w:ascii="Times New Roman" w:hAnsi="Times New Roman" w:cs="Times New Roman"/>
          <w:sz w:val="24"/>
          <w:szCs w:val="24"/>
        </w:rPr>
        <w:footnoteReference w:id="5"/>
      </w:r>
      <w:r w:rsidRPr="00BF790C">
        <w:rPr>
          <w:rFonts w:ascii="Times New Roman" w:hAnsi="Times New Roman" w:cs="Times New Roman"/>
          <w:sz w:val="24"/>
          <w:szCs w:val="24"/>
        </w:rPr>
        <w:t xml:space="preserve"> </w:t>
      </w:r>
    </w:p>
    <w:p w:rsidR="008B60A9" w:rsidRPr="00BF790C" w:rsidRDefault="00963C9B"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In this </w:t>
      </w:r>
      <w:r w:rsidR="00B42F41" w:rsidRPr="00BF790C">
        <w:rPr>
          <w:rFonts w:ascii="Times New Roman" w:hAnsi="Times New Roman" w:cs="Times New Roman"/>
          <w:sz w:val="24"/>
          <w:szCs w:val="24"/>
        </w:rPr>
        <w:t>study</w:t>
      </w:r>
      <w:r w:rsidRPr="00BF790C">
        <w:rPr>
          <w:rFonts w:ascii="Times New Roman" w:hAnsi="Times New Roman" w:cs="Times New Roman"/>
          <w:sz w:val="24"/>
          <w:szCs w:val="24"/>
        </w:rPr>
        <w:t xml:space="preserve">, we </w:t>
      </w:r>
      <w:r w:rsidR="00A50745" w:rsidRPr="00BF790C">
        <w:rPr>
          <w:rFonts w:ascii="Times New Roman" w:hAnsi="Times New Roman" w:cs="Times New Roman"/>
          <w:sz w:val="24"/>
          <w:szCs w:val="24"/>
        </w:rPr>
        <w:t>highlight</w:t>
      </w:r>
      <w:r w:rsidR="00D56C8A" w:rsidRPr="00BF790C">
        <w:rPr>
          <w:rFonts w:ascii="Times New Roman" w:hAnsi="Times New Roman" w:cs="Times New Roman"/>
          <w:sz w:val="24"/>
          <w:szCs w:val="24"/>
        </w:rPr>
        <w:t xml:space="preserve"> the </w:t>
      </w:r>
      <w:r w:rsidRPr="00BF790C">
        <w:rPr>
          <w:rFonts w:ascii="Times New Roman" w:hAnsi="Times New Roman" w:cs="Times New Roman"/>
          <w:sz w:val="24"/>
          <w:szCs w:val="24"/>
        </w:rPr>
        <w:t xml:space="preserve">impact of </w:t>
      </w:r>
      <w:r w:rsidR="00A50745" w:rsidRPr="00BF790C">
        <w:rPr>
          <w:rFonts w:ascii="Times New Roman" w:hAnsi="Times New Roman" w:cs="Times New Roman"/>
          <w:sz w:val="24"/>
          <w:szCs w:val="24"/>
        </w:rPr>
        <w:t>the “</w:t>
      </w:r>
      <w:r w:rsidR="00191A64" w:rsidRPr="00BF790C">
        <w:rPr>
          <w:rFonts w:ascii="Times New Roman" w:hAnsi="Times New Roman" w:cs="Times New Roman"/>
          <w:sz w:val="24"/>
          <w:szCs w:val="24"/>
        </w:rPr>
        <w:t>labor</w:t>
      </w:r>
      <w:r w:rsidR="00D56C8A" w:rsidRPr="00BF790C">
        <w:rPr>
          <w:rFonts w:ascii="Times New Roman" w:hAnsi="Times New Roman" w:cs="Times New Roman"/>
          <w:sz w:val="24"/>
          <w:szCs w:val="24"/>
        </w:rPr>
        <w:t xml:space="preserve"> </w:t>
      </w:r>
      <w:r w:rsidR="00191A64" w:rsidRPr="00BF790C">
        <w:rPr>
          <w:rFonts w:ascii="Times New Roman" w:hAnsi="Times New Roman" w:cs="Times New Roman"/>
          <w:sz w:val="24"/>
          <w:szCs w:val="24"/>
        </w:rPr>
        <w:t>-</w:t>
      </w:r>
      <w:r w:rsidRPr="00BF790C">
        <w:rPr>
          <w:rFonts w:ascii="Times New Roman" w:hAnsi="Times New Roman" w:cs="Times New Roman"/>
          <w:sz w:val="24"/>
          <w:szCs w:val="24"/>
        </w:rPr>
        <w:t xml:space="preserve">contracting” environment on </w:t>
      </w:r>
      <w:r w:rsidR="007C0207" w:rsidRPr="00BF790C">
        <w:rPr>
          <w:rFonts w:ascii="Times New Roman" w:hAnsi="Times New Roman" w:cs="Times New Roman"/>
          <w:sz w:val="24"/>
          <w:szCs w:val="24"/>
        </w:rPr>
        <w:t xml:space="preserve">retirement account </w:t>
      </w:r>
      <w:r w:rsidRPr="00BF790C">
        <w:rPr>
          <w:rFonts w:ascii="Times New Roman" w:hAnsi="Times New Roman" w:cs="Times New Roman"/>
          <w:sz w:val="24"/>
          <w:szCs w:val="24"/>
        </w:rPr>
        <w:t>sponsorship</w:t>
      </w:r>
      <w:r w:rsidR="007C0207" w:rsidRPr="00BF790C">
        <w:rPr>
          <w:rFonts w:ascii="Times New Roman" w:hAnsi="Times New Roman" w:cs="Times New Roman"/>
          <w:sz w:val="24"/>
          <w:szCs w:val="24"/>
        </w:rPr>
        <w:t xml:space="preserve">. </w:t>
      </w:r>
      <w:r w:rsidR="008B60A9" w:rsidRPr="00BF790C">
        <w:rPr>
          <w:rFonts w:ascii="Times New Roman" w:hAnsi="Times New Roman" w:cs="Times New Roman"/>
          <w:sz w:val="24"/>
          <w:szCs w:val="24"/>
        </w:rPr>
        <w:t xml:space="preserve">Previous research </w:t>
      </w:r>
      <w:r w:rsidR="00D56C8A" w:rsidRPr="00BF790C">
        <w:rPr>
          <w:rFonts w:ascii="Times New Roman" w:hAnsi="Times New Roman" w:cs="Times New Roman"/>
          <w:sz w:val="24"/>
          <w:szCs w:val="24"/>
        </w:rPr>
        <w:t xml:space="preserve">controlled for factors affecting </w:t>
      </w:r>
      <w:r w:rsidR="00191A64" w:rsidRPr="00BF790C">
        <w:rPr>
          <w:rFonts w:ascii="Times New Roman" w:hAnsi="Times New Roman" w:cs="Times New Roman"/>
          <w:sz w:val="24"/>
          <w:szCs w:val="24"/>
        </w:rPr>
        <w:t xml:space="preserve">the bargaining environment </w:t>
      </w:r>
      <w:r w:rsidR="00D56C8A" w:rsidRPr="00BF790C">
        <w:rPr>
          <w:rFonts w:ascii="Times New Roman" w:hAnsi="Times New Roman" w:cs="Times New Roman"/>
          <w:sz w:val="24"/>
          <w:szCs w:val="24"/>
        </w:rPr>
        <w:t>and employee benefit p</w:t>
      </w:r>
      <w:r w:rsidR="00DC34E9" w:rsidRPr="00BF790C">
        <w:rPr>
          <w:rFonts w:ascii="Times New Roman" w:hAnsi="Times New Roman" w:cs="Times New Roman"/>
          <w:sz w:val="24"/>
          <w:szCs w:val="24"/>
        </w:rPr>
        <w:t>rovision but rarely explained how they operated</w:t>
      </w:r>
      <w:r w:rsidR="00D56C8A" w:rsidRPr="00BF790C">
        <w:rPr>
          <w:rFonts w:ascii="Times New Roman" w:hAnsi="Times New Roman" w:cs="Times New Roman"/>
          <w:sz w:val="24"/>
          <w:szCs w:val="24"/>
        </w:rPr>
        <w:t>. Exceptions are Freeman (1981) and Ghilarducci (</w:t>
      </w:r>
      <w:r w:rsidR="00B22CE0">
        <w:rPr>
          <w:rFonts w:ascii="Times New Roman" w:hAnsi="Times New Roman" w:cs="Times New Roman"/>
          <w:sz w:val="24"/>
          <w:szCs w:val="24"/>
        </w:rPr>
        <w:t>1990</w:t>
      </w:r>
      <w:r w:rsidR="00D56C8A" w:rsidRPr="00BF790C">
        <w:rPr>
          <w:rFonts w:ascii="Times New Roman" w:hAnsi="Times New Roman" w:cs="Times New Roman"/>
          <w:sz w:val="24"/>
          <w:szCs w:val="24"/>
        </w:rPr>
        <w:t xml:space="preserve">), but they only explicitly modeled </w:t>
      </w:r>
      <w:r w:rsidR="00A50745" w:rsidRPr="00BF790C">
        <w:rPr>
          <w:rFonts w:ascii="Times New Roman" w:hAnsi="Times New Roman" w:cs="Times New Roman"/>
          <w:sz w:val="24"/>
          <w:szCs w:val="24"/>
        </w:rPr>
        <w:t xml:space="preserve">the role of unions in changing </w:t>
      </w:r>
      <w:r w:rsidR="00D56C8A" w:rsidRPr="00BF790C">
        <w:rPr>
          <w:rFonts w:ascii="Times New Roman" w:hAnsi="Times New Roman" w:cs="Times New Roman"/>
          <w:sz w:val="24"/>
          <w:szCs w:val="24"/>
        </w:rPr>
        <w:t>the objection function of workers and aff</w:t>
      </w:r>
      <w:r w:rsidR="00DC34E9" w:rsidRPr="00BF790C">
        <w:rPr>
          <w:rFonts w:ascii="Times New Roman" w:hAnsi="Times New Roman" w:cs="Times New Roman"/>
          <w:sz w:val="24"/>
          <w:szCs w:val="24"/>
        </w:rPr>
        <w:t xml:space="preserve">ecting </w:t>
      </w:r>
      <w:r w:rsidR="00191A64" w:rsidRPr="00BF790C">
        <w:rPr>
          <w:rFonts w:ascii="Times New Roman" w:hAnsi="Times New Roman" w:cs="Times New Roman"/>
          <w:sz w:val="24"/>
          <w:szCs w:val="24"/>
        </w:rPr>
        <w:t>employer</w:t>
      </w:r>
      <w:r w:rsidR="00D56C8A" w:rsidRPr="00BF790C">
        <w:rPr>
          <w:rFonts w:ascii="Times New Roman" w:hAnsi="Times New Roman" w:cs="Times New Roman"/>
          <w:sz w:val="24"/>
          <w:szCs w:val="24"/>
        </w:rPr>
        <w:t>s’</w:t>
      </w:r>
      <w:r w:rsidR="00191A64" w:rsidRPr="00BF790C">
        <w:rPr>
          <w:rFonts w:ascii="Times New Roman" w:hAnsi="Times New Roman" w:cs="Times New Roman"/>
          <w:sz w:val="24"/>
          <w:szCs w:val="24"/>
        </w:rPr>
        <w:t xml:space="preserve"> deci</w:t>
      </w:r>
      <w:r w:rsidR="00D56C8A" w:rsidRPr="00BF790C">
        <w:rPr>
          <w:rFonts w:ascii="Times New Roman" w:hAnsi="Times New Roman" w:cs="Times New Roman"/>
          <w:sz w:val="24"/>
          <w:szCs w:val="24"/>
        </w:rPr>
        <w:t xml:space="preserve">sion to provide pensions. </w:t>
      </w:r>
      <w:r w:rsidR="008B60A9" w:rsidRPr="00BF790C">
        <w:rPr>
          <w:rFonts w:ascii="Times New Roman" w:hAnsi="Times New Roman" w:cs="Times New Roman"/>
          <w:sz w:val="24"/>
          <w:szCs w:val="24"/>
        </w:rPr>
        <w:t>Our approach utilizes the substantial variation across U.S. states to identify the impact of the labor-contracting environment on retirement account sponsorship rates</w:t>
      </w:r>
      <w:r w:rsidR="00D56C8A" w:rsidRPr="00BF790C">
        <w:rPr>
          <w:rFonts w:ascii="Times New Roman" w:hAnsi="Times New Roman" w:cs="Times New Roman"/>
          <w:sz w:val="24"/>
          <w:szCs w:val="24"/>
        </w:rPr>
        <w:t xml:space="preserve"> that affect union and non union workers</w:t>
      </w:r>
      <w:r w:rsidR="008B60A9" w:rsidRPr="00BF790C">
        <w:rPr>
          <w:rFonts w:ascii="Times New Roman" w:hAnsi="Times New Roman" w:cs="Times New Roman"/>
          <w:sz w:val="24"/>
          <w:szCs w:val="24"/>
        </w:rPr>
        <w:t>.</w:t>
      </w:r>
    </w:p>
    <w:p w:rsidR="008B60A9" w:rsidRPr="00BF790C" w:rsidRDefault="008B60A9"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The bargaining environment reflects the relative bargaining power of employers and employees</w:t>
      </w:r>
      <w:r w:rsidR="00D54576" w:rsidRPr="00BF790C">
        <w:rPr>
          <w:rFonts w:ascii="Times New Roman" w:hAnsi="Times New Roman" w:cs="Times New Roman"/>
          <w:sz w:val="24"/>
          <w:szCs w:val="24"/>
        </w:rPr>
        <w:t xml:space="preserve"> subject to the firm’s cost constraints. Therefore, unionization rates matter. Moreover, to the extent that the cost of job loss and </w:t>
      </w:r>
      <w:r w:rsidR="00DC34E9" w:rsidRPr="00BF790C">
        <w:rPr>
          <w:rFonts w:ascii="Times New Roman" w:hAnsi="Times New Roman" w:cs="Times New Roman"/>
          <w:sz w:val="24"/>
          <w:szCs w:val="24"/>
        </w:rPr>
        <w:t xml:space="preserve">the </w:t>
      </w:r>
      <w:r w:rsidR="00D54576" w:rsidRPr="00BF790C">
        <w:rPr>
          <w:rFonts w:ascii="Times New Roman" w:hAnsi="Times New Roman" w:cs="Times New Roman"/>
          <w:sz w:val="24"/>
          <w:szCs w:val="24"/>
        </w:rPr>
        <w:t>corresponding fear of job loss reduce workers’ bargaining power, unemployment rates and weeks spent unemployed are relevant determinants of retirement account sponso</w:t>
      </w:r>
      <w:r w:rsidR="00E7484D" w:rsidRPr="00BF790C">
        <w:rPr>
          <w:rFonts w:ascii="Times New Roman" w:hAnsi="Times New Roman" w:cs="Times New Roman"/>
          <w:sz w:val="24"/>
          <w:szCs w:val="24"/>
        </w:rPr>
        <w:t>r</w:t>
      </w:r>
      <w:r w:rsidR="00D54576" w:rsidRPr="00BF790C">
        <w:rPr>
          <w:rFonts w:ascii="Times New Roman" w:hAnsi="Times New Roman" w:cs="Times New Roman"/>
          <w:sz w:val="24"/>
          <w:szCs w:val="24"/>
        </w:rPr>
        <w:t xml:space="preserve">ship. </w:t>
      </w:r>
      <w:r w:rsidR="00E7484D" w:rsidRPr="00BF790C">
        <w:rPr>
          <w:rFonts w:ascii="Times New Roman" w:hAnsi="Times New Roman" w:cs="Times New Roman"/>
          <w:sz w:val="24"/>
          <w:szCs w:val="24"/>
        </w:rPr>
        <w:t>In addition, labor market norms matter; w</w:t>
      </w:r>
      <w:r w:rsidR="00D54576" w:rsidRPr="00BF790C">
        <w:rPr>
          <w:rFonts w:ascii="Times New Roman" w:hAnsi="Times New Roman" w:cs="Times New Roman"/>
          <w:sz w:val="24"/>
          <w:szCs w:val="24"/>
        </w:rPr>
        <w:t xml:space="preserve">hen most firms offer retirement account sponsorship to their employees, firms need to match that to be able to attract competitive workers. As a result, the fraction of the state’s workers who are older and well educated, and the fraction of the firms that are large all predict a higher sponsorship rate at the state level, which increases the likelihood that a firm offers retirement account access to their workers, even if its workers are young and uneducated and the firm is small. </w:t>
      </w:r>
    </w:p>
    <w:p w:rsidR="002530C8" w:rsidRPr="00BF790C" w:rsidRDefault="00DC34E9"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In addition</w:t>
      </w:r>
      <w:r w:rsidR="00E7484D" w:rsidRPr="00BF790C">
        <w:rPr>
          <w:rFonts w:ascii="Times New Roman" w:hAnsi="Times New Roman" w:cs="Times New Roman"/>
          <w:sz w:val="24"/>
          <w:szCs w:val="24"/>
        </w:rPr>
        <w:t xml:space="preserve">, </w:t>
      </w:r>
      <w:proofErr w:type="spellStart"/>
      <w:r w:rsidR="002530C8" w:rsidRPr="00BF790C">
        <w:rPr>
          <w:rFonts w:ascii="Times New Roman" w:hAnsi="Times New Roman" w:cs="Times New Roman"/>
          <w:sz w:val="24"/>
          <w:szCs w:val="24"/>
        </w:rPr>
        <w:t>Hinz</w:t>
      </w:r>
      <w:proofErr w:type="spellEnd"/>
      <w:r w:rsidR="002530C8" w:rsidRPr="00BF790C">
        <w:rPr>
          <w:rFonts w:ascii="Times New Roman" w:hAnsi="Times New Roman" w:cs="Times New Roman"/>
          <w:sz w:val="24"/>
          <w:szCs w:val="24"/>
        </w:rPr>
        <w:t xml:space="preserve"> and Turner (1998) </w:t>
      </w:r>
      <w:r w:rsidR="0052158E" w:rsidRPr="00BF790C">
        <w:rPr>
          <w:rFonts w:ascii="Times New Roman" w:hAnsi="Times New Roman" w:cs="Times New Roman"/>
          <w:sz w:val="24"/>
          <w:szCs w:val="24"/>
        </w:rPr>
        <w:t xml:space="preserve">are among many researchers </w:t>
      </w:r>
      <w:r w:rsidR="00E92122" w:rsidRPr="00BF790C">
        <w:rPr>
          <w:rFonts w:ascii="Times New Roman" w:hAnsi="Times New Roman" w:cs="Times New Roman"/>
          <w:sz w:val="24"/>
          <w:szCs w:val="24"/>
        </w:rPr>
        <w:t xml:space="preserve">concluding </w:t>
      </w:r>
      <w:r w:rsidRPr="00BF790C">
        <w:rPr>
          <w:rFonts w:ascii="Times New Roman" w:hAnsi="Times New Roman" w:cs="Times New Roman"/>
          <w:sz w:val="24"/>
          <w:szCs w:val="24"/>
        </w:rPr>
        <w:t xml:space="preserve">that </w:t>
      </w:r>
      <w:r w:rsidR="002530C8" w:rsidRPr="00BF790C">
        <w:rPr>
          <w:rFonts w:ascii="Times New Roman" w:hAnsi="Times New Roman" w:cs="Times New Roman"/>
          <w:sz w:val="24"/>
          <w:szCs w:val="24"/>
        </w:rPr>
        <w:t>when people at one’s workplace have higher incomes</w:t>
      </w:r>
      <w:r w:rsidRPr="00BF790C">
        <w:rPr>
          <w:rFonts w:ascii="Times New Roman" w:hAnsi="Times New Roman" w:cs="Times New Roman"/>
          <w:sz w:val="24"/>
          <w:szCs w:val="24"/>
        </w:rPr>
        <w:t>,</w:t>
      </w:r>
      <w:r w:rsidR="002530C8" w:rsidRPr="00BF790C">
        <w:rPr>
          <w:rFonts w:ascii="Times New Roman" w:hAnsi="Times New Roman" w:cs="Times New Roman"/>
          <w:sz w:val="24"/>
          <w:szCs w:val="24"/>
        </w:rPr>
        <w:t xml:space="preserve"> they are more likely to be </w:t>
      </w:r>
      <w:proofErr w:type="spellStart"/>
      <w:r w:rsidR="002530C8" w:rsidRPr="00BF790C">
        <w:rPr>
          <w:rFonts w:ascii="Times New Roman" w:hAnsi="Times New Roman" w:cs="Times New Roman"/>
          <w:sz w:val="24"/>
          <w:szCs w:val="24"/>
        </w:rPr>
        <w:t>incented</w:t>
      </w:r>
      <w:proofErr w:type="spellEnd"/>
      <w:r w:rsidR="002530C8" w:rsidRPr="00BF790C">
        <w:rPr>
          <w:rFonts w:ascii="Times New Roman" w:hAnsi="Times New Roman" w:cs="Times New Roman"/>
          <w:sz w:val="24"/>
          <w:szCs w:val="24"/>
        </w:rPr>
        <w:t xml:space="preserve"> by the tax deduction for pensions to demand them. As a result, we expect to find that as more people fall into highe</w:t>
      </w:r>
      <w:r w:rsidR="00D54576" w:rsidRPr="00BF790C">
        <w:rPr>
          <w:rFonts w:ascii="Times New Roman" w:hAnsi="Times New Roman" w:cs="Times New Roman"/>
          <w:sz w:val="24"/>
          <w:szCs w:val="24"/>
        </w:rPr>
        <w:t>r income brackets (</w:t>
      </w:r>
      <w:proofErr w:type="spellStart"/>
      <w:r w:rsidR="00D54576" w:rsidRPr="00BF790C">
        <w:rPr>
          <w:rFonts w:ascii="Times New Roman" w:hAnsi="Times New Roman" w:cs="Times New Roman"/>
          <w:sz w:val="24"/>
          <w:szCs w:val="24"/>
        </w:rPr>
        <w:t>proxied</w:t>
      </w:r>
      <w:proofErr w:type="spellEnd"/>
      <w:r w:rsidR="00D54576" w:rsidRPr="00BF790C">
        <w:rPr>
          <w:rFonts w:ascii="Times New Roman" w:hAnsi="Times New Roman" w:cs="Times New Roman"/>
          <w:sz w:val="24"/>
          <w:szCs w:val="24"/>
        </w:rPr>
        <w:t xml:space="preserve"> </w:t>
      </w:r>
      <w:r w:rsidR="002530C8" w:rsidRPr="00BF790C">
        <w:rPr>
          <w:rFonts w:ascii="Times New Roman" w:hAnsi="Times New Roman" w:cs="Times New Roman"/>
          <w:sz w:val="24"/>
          <w:szCs w:val="24"/>
        </w:rPr>
        <w:t xml:space="preserve">by state </w:t>
      </w:r>
      <w:proofErr w:type="spellStart"/>
      <w:r w:rsidR="002530C8" w:rsidRPr="00BF790C">
        <w:rPr>
          <w:rFonts w:ascii="Times New Roman" w:hAnsi="Times New Roman" w:cs="Times New Roman"/>
          <w:sz w:val="24"/>
          <w:szCs w:val="24"/>
        </w:rPr>
        <w:t>Gini</w:t>
      </w:r>
      <w:proofErr w:type="spellEnd"/>
      <w:r w:rsidR="002530C8" w:rsidRPr="00BF790C">
        <w:rPr>
          <w:rFonts w:ascii="Times New Roman" w:hAnsi="Times New Roman" w:cs="Times New Roman"/>
          <w:sz w:val="24"/>
          <w:szCs w:val="24"/>
        </w:rPr>
        <w:t xml:space="preserve"> coefficients) – they are more likely to be covered by a retirement account</w:t>
      </w:r>
      <w:r w:rsidR="009C60FB" w:rsidRPr="00BF790C">
        <w:rPr>
          <w:rFonts w:ascii="Times New Roman" w:hAnsi="Times New Roman" w:cs="Times New Roman"/>
          <w:sz w:val="24"/>
          <w:szCs w:val="24"/>
        </w:rPr>
        <w:t xml:space="preserve"> and that </w:t>
      </w:r>
      <w:r w:rsidR="002530C8" w:rsidRPr="00BF790C">
        <w:rPr>
          <w:rFonts w:ascii="Times New Roman" w:hAnsi="Times New Roman" w:cs="Times New Roman"/>
          <w:sz w:val="24"/>
          <w:szCs w:val="24"/>
        </w:rPr>
        <w:t xml:space="preserve">increasing inequality correlates with decreasing pension coverage. </w:t>
      </w:r>
    </w:p>
    <w:p w:rsidR="007C0207" w:rsidRPr="00BF790C" w:rsidRDefault="007C0207"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In sum, previous studies have focused mainly on worker and firm characteristics to explain retireme</w:t>
      </w:r>
      <w:r w:rsidR="00CF7EC4" w:rsidRPr="00BF790C">
        <w:rPr>
          <w:rFonts w:ascii="Times New Roman" w:hAnsi="Times New Roman" w:cs="Times New Roman"/>
          <w:sz w:val="24"/>
          <w:szCs w:val="24"/>
        </w:rPr>
        <w:t>nt account coverage rates and ga</w:t>
      </w:r>
      <w:r w:rsidRPr="00BF790C">
        <w:rPr>
          <w:rFonts w:ascii="Times New Roman" w:hAnsi="Times New Roman" w:cs="Times New Roman"/>
          <w:sz w:val="24"/>
          <w:szCs w:val="24"/>
        </w:rPr>
        <w:t xml:space="preserve">ve short attention to the bargaining environment between workers and employers. </w:t>
      </w:r>
      <w:r w:rsidR="00CF7EC4" w:rsidRPr="00BF790C">
        <w:rPr>
          <w:rFonts w:ascii="Times New Roman" w:hAnsi="Times New Roman" w:cs="Times New Roman"/>
          <w:sz w:val="24"/>
          <w:szCs w:val="24"/>
        </w:rPr>
        <w:t xml:space="preserve">This study measures the impact of the bargaining environment, including state specific norms </w:t>
      </w:r>
      <w:r w:rsidR="00E7484D" w:rsidRPr="00BF790C">
        <w:rPr>
          <w:rFonts w:ascii="Times New Roman" w:hAnsi="Times New Roman" w:cs="Times New Roman"/>
          <w:sz w:val="24"/>
          <w:szCs w:val="24"/>
        </w:rPr>
        <w:t xml:space="preserve">(in addition to employer and employee characteristics) </w:t>
      </w:r>
      <w:r w:rsidR="00CF7EC4" w:rsidRPr="00BF790C">
        <w:rPr>
          <w:rFonts w:ascii="Times New Roman" w:hAnsi="Times New Roman" w:cs="Times New Roman"/>
          <w:sz w:val="24"/>
          <w:szCs w:val="24"/>
        </w:rPr>
        <w:t xml:space="preserve">on the sponsorship of retirement accounts through employers. It also investigates the extent that changes in the bargaining environment can explain the decline in sponsorship rates over the past decade.  </w:t>
      </w:r>
    </w:p>
    <w:p w:rsidR="00E7484D" w:rsidRPr="00BF790C" w:rsidRDefault="00E7484D" w:rsidP="001F00BE">
      <w:pPr>
        <w:spacing w:line="480" w:lineRule="auto"/>
        <w:rPr>
          <w:rFonts w:ascii="Times New Roman" w:hAnsi="Times New Roman" w:cs="Times New Roman"/>
          <w:sz w:val="24"/>
          <w:szCs w:val="24"/>
        </w:rPr>
      </w:pPr>
    </w:p>
    <w:p w:rsidR="004F489F" w:rsidRPr="00BF790C" w:rsidRDefault="00BE1A6B" w:rsidP="001F00BE">
      <w:pPr>
        <w:spacing w:line="480" w:lineRule="auto"/>
        <w:jc w:val="center"/>
        <w:rPr>
          <w:rFonts w:ascii="Times New Roman" w:hAnsi="Times New Roman" w:cs="Times New Roman"/>
          <w:b/>
          <w:sz w:val="24"/>
          <w:szCs w:val="24"/>
        </w:rPr>
      </w:pPr>
      <w:r w:rsidRPr="00BF790C">
        <w:rPr>
          <w:rFonts w:ascii="Times New Roman" w:hAnsi="Times New Roman" w:cs="Times New Roman"/>
          <w:b/>
          <w:sz w:val="24"/>
          <w:szCs w:val="24"/>
        </w:rPr>
        <w:t>METHODOLOGY</w:t>
      </w:r>
    </w:p>
    <w:p w:rsidR="003B4426" w:rsidRPr="00BF790C" w:rsidRDefault="009C60FB"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We use the </w:t>
      </w:r>
      <w:r w:rsidR="007F602D" w:rsidRPr="00BF790C">
        <w:rPr>
          <w:rFonts w:ascii="Times New Roman" w:hAnsi="Times New Roman" w:cs="Times New Roman"/>
          <w:sz w:val="24"/>
          <w:szCs w:val="24"/>
        </w:rPr>
        <w:t>2000-2002</w:t>
      </w:r>
      <w:r w:rsidR="003779AF" w:rsidRPr="00BF790C">
        <w:rPr>
          <w:rFonts w:ascii="Times New Roman" w:hAnsi="Times New Roman" w:cs="Times New Roman"/>
          <w:sz w:val="24"/>
          <w:szCs w:val="24"/>
        </w:rPr>
        <w:t xml:space="preserve"> and </w:t>
      </w:r>
      <w:r w:rsidR="007F602D" w:rsidRPr="00BF790C">
        <w:rPr>
          <w:rFonts w:ascii="Times New Roman" w:hAnsi="Times New Roman" w:cs="Times New Roman"/>
          <w:sz w:val="24"/>
          <w:szCs w:val="24"/>
        </w:rPr>
        <w:t>2010-</w:t>
      </w:r>
      <w:r w:rsidR="003779AF" w:rsidRPr="00BF790C">
        <w:rPr>
          <w:rFonts w:ascii="Times New Roman" w:hAnsi="Times New Roman" w:cs="Times New Roman"/>
          <w:sz w:val="24"/>
          <w:szCs w:val="24"/>
        </w:rPr>
        <w:t>2012 March Supplement of the Current Population Survey</w:t>
      </w:r>
      <w:r w:rsidRPr="00BF790C">
        <w:rPr>
          <w:rFonts w:ascii="Times New Roman" w:hAnsi="Times New Roman" w:cs="Times New Roman"/>
          <w:sz w:val="24"/>
          <w:szCs w:val="24"/>
        </w:rPr>
        <w:t xml:space="preserve"> to measure and explain the drop in retirement account sponsorship rates over time. </w:t>
      </w:r>
      <w:r w:rsidR="003B4426" w:rsidRPr="00BF790C">
        <w:rPr>
          <w:rFonts w:ascii="Times New Roman" w:hAnsi="Times New Roman" w:cs="Times New Roman"/>
          <w:sz w:val="24"/>
          <w:szCs w:val="24"/>
        </w:rPr>
        <w:t xml:space="preserve">The data is at the individual level, and the sample is limited to people ages 25-64 who worked at least one week the previous year. </w:t>
      </w:r>
      <w:r w:rsidR="007F602D" w:rsidRPr="00BF790C">
        <w:rPr>
          <w:rFonts w:ascii="Times New Roman" w:hAnsi="Times New Roman" w:cs="Times New Roman"/>
          <w:sz w:val="24"/>
          <w:szCs w:val="24"/>
        </w:rPr>
        <w:t>We use three-year averages for each time period to establish a credible sample size</w:t>
      </w:r>
      <w:r w:rsidR="00C34A5D" w:rsidRPr="00BF790C">
        <w:rPr>
          <w:rFonts w:ascii="Times New Roman" w:hAnsi="Times New Roman" w:cs="Times New Roman"/>
          <w:sz w:val="24"/>
          <w:szCs w:val="24"/>
        </w:rPr>
        <w:t xml:space="preserve"> at the state level</w:t>
      </w:r>
      <w:r w:rsidR="007F602D" w:rsidRPr="00BF790C">
        <w:rPr>
          <w:rFonts w:ascii="Times New Roman" w:hAnsi="Times New Roman" w:cs="Times New Roman"/>
          <w:sz w:val="24"/>
          <w:szCs w:val="24"/>
        </w:rPr>
        <w:t xml:space="preserve">. </w:t>
      </w:r>
      <w:r w:rsidR="003B4426" w:rsidRPr="00BF790C">
        <w:rPr>
          <w:rFonts w:ascii="Times New Roman" w:hAnsi="Times New Roman" w:cs="Times New Roman"/>
          <w:sz w:val="24"/>
          <w:szCs w:val="24"/>
        </w:rPr>
        <w:t xml:space="preserve">The </w:t>
      </w:r>
      <w:r w:rsidR="007F602D" w:rsidRPr="00BF790C">
        <w:rPr>
          <w:rFonts w:ascii="Times New Roman" w:hAnsi="Times New Roman" w:cs="Times New Roman"/>
          <w:sz w:val="24"/>
          <w:szCs w:val="24"/>
        </w:rPr>
        <w:t>2010-</w:t>
      </w:r>
      <w:r w:rsidR="003B4426" w:rsidRPr="00BF790C">
        <w:rPr>
          <w:rFonts w:ascii="Times New Roman" w:hAnsi="Times New Roman" w:cs="Times New Roman"/>
          <w:sz w:val="24"/>
          <w:szCs w:val="24"/>
        </w:rPr>
        <w:t xml:space="preserve">2012 data references pension sponsorship rates for the </w:t>
      </w:r>
      <w:r w:rsidR="007F602D" w:rsidRPr="00BF790C">
        <w:rPr>
          <w:rFonts w:ascii="Times New Roman" w:hAnsi="Times New Roman" w:cs="Times New Roman"/>
          <w:sz w:val="24"/>
          <w:szCs w:val="24"/>
        </w:rPr>
        <w:t>2009-</w:t>
      </w:r>
      <w:r w:rsidR="003B4426" w:rsidRPr="00BF790C">
        <w:rPr>
          <w:rFonts w:ascii="Times New Roman" w:hAnsi="Times New Roman" w:cs="Times New Roman"/>
          <w:sz w:val="24"/>
          <w:szCs w:val="24"/>
        </w:rPr>
        <w:t>2011 calendar year</w:t>
      </w:r>
      <w:r w:rsidR="007F602D" w:rsidRPr="00BF790C">
        <w:rPr>
          <w:rFonts w:ascii="Times New Roman" w:hAnsi="Times New Roman" w:cs="Times New Roman"/>
          <w:sz w:val="24"/>
          <w:szCs w:val="24"/>
        </w:rPr>
        <w:t>s</w:t>
      </w:r>
      <w:r w:rsidR="003B4426" w:rsidRPr="00BF790C">
        <w:rPr>
          <w:rFonts w:ascii="Times New Roman" w:hAnsi="Times New Roman" w:cs="Times New Roman"/>
          <w:sz w:val="24"/>
          <w:szCs w:val="24"/>
        </w:rPr>
        <w:t xml:space="preserve">, while the </w:t>
      </w:r>
      <w:r w:rsidR="007F602D" w:rsidRPr="00BF790C">
        <w:rPr>
          <w:rFonts w:ascii="Times New Roman" w:hAnsi="Times New Roman" w:cs="Times New Roman"/>
          <w:sz w:val="24"/>
          <w:szCs w:val="24"/>
        </w:rPr>
        <w:t>2000-2002</w:t>
      </w:r>
      <w:r w:rsidR="003B4426" w:rsidRPr="00BF790C">
        <w:rPr>
          <w:rFonts w:ascii="Times New Roman" w:hAnsi="Times New Roman" w:cs="Times New Roman"/>
          <w:sz w:val="24"/>
          <w:szCs w:val="24"/>
        </w:rPr>
        <w:t xml:space="preserve"> data refers to the year</w:t>
      </w:r>
      <w:r w:rsidR="003C656F" w:rsidRPr="00BF790C">
        <w:rPr>
          <w:rFonts w:ascii="Times New Roman" w:hAnsi="Times New Roman" w:cs="Times New Roman"/>
          <w:sz w:val="24"/>
          <w:szCs w:val="24"/>
        </w:rPr>
        <w:t>s</w:t>
      </w:r>
      <w:r w:rsidR="003B4426" w:rsidRPr="00BF790C">
        <w:rPr>
          <w:rFonts w:ascii="Times New Roman" w:hAnsi="Times New Roman" w:cs="Times New Roman"/>
          <w:sz w:val="24"/>
          <w:szCs w:val="24"/>
        </w:rPr>
        <w:t xml:space="preserve"> </w:t>
      </w:r>
      <w:r w:rsidR="003C656F" w:rsidRPr="00BF790C">
        <w:rPr>
          <w:rFonts w:ascii="Times New Roman" w:hAnsi="Times New Roman" w:cs="Times New Roman"/>
          <w:sz w:val="24"/>
          <w:szCs w:val="24"/>
        </w:rPr>
        <w:t>1999-2001</w:t>
      </w:r>
      <w:r w:rsidR="003B4426" w:rsidRPr="00BF790C">
        <w:rPr>
          <w:rFonts w:ascii="Times New Roman" w:hAnsi="Times New Roman" w:cs="Times New Roman"/>
          <w:sz w:val="24"/>
          <w:szCs w:val="24"/>
        </w:rPr>
        <w:t xml:space="preserve">. All state level variables are therefore collected for the </w:t>
      </w:r>
      <w:r w:rsidR="00201144" w:rsidRPr="00BF790C">
        <w:rPr>
          <w:rFonts w:ascii="Times New Roman" w:hAnsi="Times New Roman" w:cs="Times New Roman"/>
          <w:sz w:val="24"/>
          <w:szCs w:val="24"/>
        </w:rPr>
        <w:t>1999-2001</w:t>
      </w:r>
      <w:r w:rsidR="003B4426" w:rsidRPr="00BF790C">
        <w:rPr>
          <w:rFonts w:ascii="Times New Roman" w:hAnsi="Times New Roman" w:cs="Times New Roman"/>
          <w:sz w:val="24"/>
          <w:szCs w:val="24"/>
        </w:rPr>
        <w:t xml:space="preserve"> and </w:t>
      </w:r>
      <w:r w:rsidR="00201144" w:rsidRPr="00BF790C">
        <w:rPr>
          <w:rFonts w:ascii="Times New Roman" w:hAnsi="Times New Roman" w:cs="Times New Roman"/>
          <w:sz w:val="24"/>
          <w:szCs w:val="24"/>
        </w:rPr>
        <w:t>2009-2011</w:t>
      </w:r>
      <w:r w:rsidR="003B4426" w:rsidRPr="00BF790C">
        <w:rPr>
          <w:rFonts w:ascii="Times New Roman" w:hAnsi="Times New Roman" w:cs="Times New Roman"/>
          <w:sz w:val="24"/>
          <w:szCs w:val="24"/>
        </w:rPr>
        <w:t xml:space="preserve"> years</w:t>
      </w:r>
      <w:r w:rsidR="003B4426" w:rsidRPr="00BF790C">
        <w:rPr>
          <w:rStyle w:val="FootnoteReference"/>
          <w:rFonts w:ascii="Times New Roman" w:hAnsi="Times New Roman" w:cs="Times New Roman"/>
          <w:sz w:val="24"/>
          <w:szCs w:val="24"/>
        </w:rPr>
        <w:footnoteReference w:id="6"/>
      </w:r>
      <w:r w:rsidR="003B4426" w:rsidRPr="00BF790C">
        <w:rPr>
          <w:rFonts w:ascii="Times New Roman" w:hAnsi="Times New Roman" w:cs="Times New Roman"/>
          <w:sz w:val="24"/>
          <w:szCs w:val="24"/>
        </w:rPr>
        <w:t xml:space="preserve">.  </w:t>
      </w:r>
    </w:p>
    <w:p w:rsidR="002530C8" w:rsidRPr="00BF790C" w:rsidRDefault="003B4426"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For each of the</w:t>
      </w:r>
      <w:r w:rsidR="004801AC" w:rsidRPr="00BF790C">
        <w:rPr>
          <w:rFonts w:ascii="Times New Roman" w:hAnsi="Times New Roman" w:cs="Times New Roman"/>
          <w:sz w:val="24"/>
          <w:szCs w:val="24"/>
        </w:rPr>
        <w:t>se</w:t>
      </w:r>
      <w:r w:rsidR="00A11D3E" w:rsidRPr="00BF790C">
        <w:rPr>
          <w:rFonts w:ascii="Times New Roman" w:hAnsi="Times New Roman" w:cs="Times New Roman"/>
          <w:sz w:val="24"/>
          <w:szCs w:val="24"/>
        </w:rPr>
        <w:t xml:space="preserve"> </w:t>
      </w:r>
      <w:r w:rsidR="003C656F" w:rsidRPr="00BF790C">
        <w:rPr>
          <w:rFonts w:ascii="Times New Roman" w:hAnsi="Times New Roman" w:cs="Times New Roman"/>
          <w:sz w:val="24"/>
          <w:szCs w:val="24"/>
        </w:rPr>
        <w:t xml:space="preserve">three-year blocks </w:t>
      </w:r>
      <w:r w:rsidR="00A11D3E" w:rsidRPr="00BF790C">
        <w:rPr>
          <w:rFonts w:ascii="Times New Roman" w:hAnsi="Times New Roman" w:cs="Times New Roman"/>
          <w:sz w:val="24"/>
          <w:szCs w:val="24"/>
        </w:rPr>
        <w:t xml:space="preserve">of data, we apply a </w:t>
      </w:r>
      <w:proofErr w:type="spellStart"/>
      <w:r w:rsidR="00A11D3E" w:rsidRPr="00BF790C">
        <w:rPr>
          <w:rFonts w:ascii="Times New Roman" w:hAnsi="Times New Roman" w:cs="Times New Roman"/>
          <w:sz w:val="24"/>
          <w:szCs w:val="24"/>
        </w:rPr>
        <w:t>p</w:t>
      </w:r>
      <w:r w:rsidRPr="00BF790C">
        <w:rPr>
          <w:rFonts w:ascii="Times New Roman" w:hAnsi="Times New Roman" w:cs="Times New Roman"/>
          <w:sz w:val="24"/>
          <w:szCs w:val="24"/>
        </w:rPr>
        <w:t>robit</w:t>
      </w:r>
      <w:proofErr w:type="spellEnd"/>
      <w:r w:rsidRPr="00BF790C">
        <w:rPr>
          <w:rFonts w:ascii="Times New Roman" w:hAnsi="Times New Roman" w:cs="Times New Roman"/>
          <w:sz w:val="24"/>
          <w:szCs w:val="24"/>
        </w:rPr>
        <w:t xml:space="preserve"> model that explain</w:t>
      </w:r>
      <w:r w:rsidR="009C60FB" w:rsidRPr="00BF790C">
        <w:rPr>
          <w:rFonts w:ascii="Times New Roman" w:hAnsi="Times New Roman" w:cs="Times New Roman"/>
          <w:sz w:val="24"/>
          <w:szCs w:val="24"/>
        </w:rPr>
        <w:t>s</w:t>
      </w:r>
      <w:r w:rsidRPr="00BF790C">
        <w:rPr>
          <w:rFonts w:ascii="Times New Roman" w:hAnsi="Times New Roman" w:cs="Times New Roman"/>
          <w:sz w:val="24"/>
          <w:szCs w:val="24"/>
        </w:rPr>
        <w:t xml:space="preserve"> the cross sectional variation in pension sponsors</w:t>
      </w:r>
      <w:r w:rsidR="004801AC" w:rsidRPr="00BF790C">
        <w:rPr>
          <w:rFonts w:ascii="Times New Roman" w:hAnsi="Times New Roman" w:cs="Times New Roman"/>
          <w:sz w:val="24"/>
          <w:szCs w:val="24"/>
        </w:rPr>
        <w:t>hip across workers using worker</w:t>
      </w:r>
      <w:r w:rsidRPr="00BF790C">
        <w:rPr>
          <w:rFonts w:ascii="Times New Roman" w:hAnsi="Times New Roman" w:cs="Times New Roman"/>
          <w:sz w:val="24"/>
          <w:szCs w:val="24"/>
        </w:rPr>
        <w:t xml:space="preserve"> specific firm and personal characteristics, as well as state level </w:t>
      </w:r>
      <w:r w:rsidR="004801AC" w:rsidRPr="00BF790C">
        <w:rPr>
          <w:rFonts w:ascii="Times New Roman" w:hAnsi="Times New Roman" w:cs="Times New Roman"/>
          <w:sz w:val="24"/>
          <w:szCs w:val="24"/>
        </w:rPr>
        <w:t>variables</w:t>
      </w:r>
      <w:r w:rsidR="000F3752" w:rsidRPr="00BF790C">
        <w:rPr>
          <w:rFonts w:ascii="Times New Roman" w:hAnsi="Times New Roman" w:cs="Times New Roman"/>
          <w:sz w:val="24"/>
          <w:szCs w:val="24"/>
        </w:rPr>
        <w:t>:</w:t>
      </w:r>
    </w:p>
    <w:p w:rsidR="0033313B" w:rsidRPr="00BF790C" w:rsidRDefault="00EE7170" w:rsidP="001F00BE">
      <w:pPr>
        <w:spacing w:line="480" w:lineRule="auto"/>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igt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t</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gt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t</m:t>
              </m:r>
            </m:sub>
          </m:sSub>
          <m:sSub>
            <m:sSubPr>
              <m:ctrlPr>
                <w:rPr>
                  <w:rFonts w:ascii="Cambria Math" w:hAnsi="Times New Roman"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igt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igt</m:t>
              </m:r>
            </m:sub>
          </m:sSub>
        </m:oMath>
      </m:oMathPara>
    </w:p>
    <w:p w:rsidR="0033313B" w:rsidRPr="00BF790C" w:rsidRDefault="0033313B"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Where </w:t>
      </w:r>
      <w:r w:rsidRPr="00BF790C">
        <w:rPr>
          <w:rFonts w:ascii="Times New Roman" w:hAnsi="Times New Roman" w:cs="Times New Roman"/>
          <w:i/>
          <w:sz w:val="24"/>
          <w:szCs w:val="24"/>
        </w:rPr>
        <w:t>g</w:t>
      </w:r>
      <w:r w:rsidR="00A11D3E" w:rsidRPr="00BF790C">
        <w:rPr>
          <w:rFonts w:ascii="Times New Roman" w:hAnsi="Times New Roman" w:cs="Times New Roman"/>
          <w:sz w:val="24"/>
          <w:szCs w:val="24"/>
        </w:rPr>
        <w:t xml:space="preserve"> indexes the state</w:t>
      </w:r>
      <w:r w:rsidR="00994AEB" w:rsidRPr="00BF790C">
        <w:rPr>
          <w:rFonts w:ascii="Times New Roman" w:hAnsi="Times New Roman" w:cs="Times New Roman"/>
          <w:sz w:val="24"/>
          <w:szCs w:val="24"/>
        </w:rPr>
        <w:t>,</w:t>
      </w:r>
      <w:r w:rsidRPr="00BF790C">
        <w:rPr>
          <w:rFonts w:ascii="Times New Roman" w:hAnsi="Times New Roman" w:cs="Times New Roman"/>
          <w:sz w:val="24"/>
          <w:szCs w:val="24"/>
        </w:rPr>
        <w:t xml:space="preserve"> </w:t>
      </w:r>
      <w:proofErr w:type="spellStart"/>
      <w:r w:rsidRPr="00BF790C">
        <w:rPr>
          <w:rFonts w:ascii="Times New Roman" w:hAnsi="Times New Roman" w:cs="Times New Roman"/>
          <w:i/>
          <w:sz w:val="24"/>
          <w:szCs w:val="24"/>
        </w:rPr>
        <w:t>i</w:t>
      </w:r>
      <w:proofErr w:type="spellEnd"/>
      <w:r w:rsidRPr="00BF790C">
        <w:rPr>
          <w:rFonts w:ascii="Times New Roman" w:hAnsi="Times New Roman" w:cs="Times New Roman"/>
          <w:sz w:val="24"/>
          <w:szCs w:val="24"/>
        </w:rPr>
        <w:t xml:space="preserve"> indexes the individual</w:t>
      </w:r>
      <w:r w:rsidR="00994AEB" w:rsidRPr="00BF790C">
        <w:rPr>
          <w:rFonts w:ascii="Times New Roman" w:hAnsi="Times New Roman" w:cs="Times New Roman"/>
          <w:sz w:val="24"/>
          <w:szCs w:val="24"/>
        </w:rPr>
        <w:t xml:space="preserve"> and </w:t>
      </w:r>
      <w:r w:rsidR="00994AEB" w:rsidRPr="00BF790C">
        <w:rPr>
          <w:rFonts w:ascii="Times New Roman" w:hAnsi="Times New Roman" w:cs="Times New Roman"/>
          <w:i/>
          <w:sz w:val="24"/>
          <w:szCs w:val="24"/>
        </w:rPr>
        <w:t xml:space="preserve">t </w:t>
      </w:r>
      <w:r w:rsidR="00994AEB" w:rsidRPr="00BF790C">
        <w:rPr>
          <w:rFonts w:ascii="Times New Roman" w:hAnsi="Times New Roman" w:cs="Times New Roman"/>
          <w:sz w:val="24"/>
          <w:szCs w:val="24"/>
        </w:rPr>
        <w:t>indexes time</w:t>
      </w:r>
      <w:r w:rsidRPr="00BF790C">
        <w:rPr>
          <w:rFonts w:ascii="Times New Roman" w:hAnsi="Times New Roman" w:cs="Times New Roman"/>
          <w:sz w:val="24"/>
          <w:szCs w:val="24"/>
        </w:rPr>
        <w:t xml:space="preserve">. </w:t>
      </w:r>
      <w:proofErr w:type="spellStart"/>
      <w:r w:rsidRPr="00BF790C">
        <w:rPr>
          <w:rFonts w:ascii="Times New Roman" w:hAnsi="Times New Roman" w:cs="Times New Roman"/>
          <w:i/>
          <w:sz w:val="24"/>
          <w:szCs w:val="24"/>
        </w:rPr>
        <w:t>Y</w:t>
      </w:r>
      <w:r w:rsidRPr="00BF790C">
        <w:rPr>
          <w:rFonts w:ascii="Times New Roman" w:hAnsi="Times New Roman" w:cs="Times New Roman"/>
          <w:i/>
          <w:sz w:val="24"/>
          <w:szCs w:val="24"/>
          <w:vertAlign w:val="subscript"/>
        </w:rPr>
        <w:t>ig</w:t>
      </w:r>
      <w:r w:rsidR="00994AEB" w:rsidRPr="00BF790C">
        <w:rPr>
          <w:rFonts w:ascii="Times New Roman" w:hAnsi="Times New Roman" w:cs="Times New Roman"/>
          <w:i/>
          <w:sz w:val="24"/>
          <w:szCs w:val="24"/>
          <w:vertAlign w:val="subscript"/>
        </w:rPr>
        <w:t>t</w:t>
      </w:r>
      <w:proofErr w:type="spellEnd"/>
      <w:r w:rsidRPr="00BF790C">
        <w:rPr>
          <w:rFonts w:ascii="Times New Roman" w:hAnsi="Times New Roman" w:cs="Times New Roman"/>
          <w:sz w:val="24"/>
          <w:szCs w:val="24"/>
        </w:rPr>
        <w:t xml:space="preserve"> is </w:t>
      </w:r>
      <w:r w:rsidR="00DC34E9" w:rsidRPr="00BF790C">
        <w:rPr>
          <w:rFonts w:ascii="Times New Roman" w:hAnsi="Times New Roman" w:cs="Times New Roman"/>
          <w:sz w:val="24"/>
          <w:szCs w:val="24"/>
        </w:rPr>
        <w:t>an</w:t>
      </w:r>
      <w:r w:rsidRPr="00BF790C">
        <w:rPr>
          <w:rFonts w:ascii="Times New Roman" w:hAnsi="Times New Roman" w:cs="Times New Roman"/>
          <w:sz w:val="24"/>
          <w:szCs w:val="24"/>
        </w:rPr>
        <w:t xml:space="preserve"> indicator of whether the individual </w:t>
      </w:r>
      <w:r w:rsidR="00DC34E9" w:rsidRPr="00BF790C">
        <w:rPr>
          <w:rFonts w:ascii="Times New Roman" w:hAnsi="Times New Roman" w:cs="Times New Roman"/>
          <w:sz w:val="24"/>
          <w:szCs w:val="24"/>
        </w:rPr>
        <w:t>is sponsored for a retirement plan at work</w:t>
      </w:r>
      <w:r w:rsidRPr="00BF790C">
        <w:rPr>
          <w:rFonts w:ascii="Times New Roman" w:hAnsi="Times New Roman" w:cs="Times New Roman"/>
          <w:sz w:val="24"/>
          <w:szCs w:val="24"/>
        </w:rPr>
        <w:t xml:space="preserve"> or not (0</w:t>
      </w:r>
      <w:proofErr w:type="gramStart"/>
      <w:r w:rsidRPr="00BF790C">
        <w:rPr>
          <w:rFonts w:ascii="Times New Roman" w:hAnsi="Times New Roman" w:cs="Times New Roman"/>
          <w:sz w:val="24"/>
          <w:szCs w:val="24"/>
        </w:rPr>
        <w:t>,1</w:t>
      </w:r>
      <w:proofErr w:type="gramEnd"/>
      <w:r w:rsidRPr="00BF790C">
        <w:rPr>
          <w:rFonts w:ascii="Times New Roman" w:hAnsi="Times New Roman" w:cs="Times New Roman"/>
          <w:sz w:val="24"/>
          <w:szCs w:val="24"/>
        </w:rPr>
        <w:t xml:space="preserve">) </w:t>
      </w:r>
      <w:r w:rsidR="00994AEB" w:rsidRPr="00BF790C">
        <w:rPr>
          <w:rFonts w:ascii="Times New Roman" w:hAnsi="Times New Roman" w:cs="Times New Roman"/>
          <w:sz w:val="24"/>
          <w:szCs w:val="24"/>
        </w:rPr>
        <w:t>,</w:t>
      </w:r>
      <w:r w:rsidRPr="00BF790C">
        <w:rPr>
          <w:rFonts w:ascii="Times New Roman" w:hAnsi="Times New Roman" w:cs="Times New Roman"/>
          <w:sz w:val="24"/>
          <w:szCs w:val="24"/>
        </w:rPr>
        <w:t xml:space="preserve"> the </w:t>
      </w:r>
      <w:proofErr w:type="spellStart"/>
      <w:r w:rsidR="00994AEB" w:rsidRPr="00BF790C">
        <w:rPr>
          <w:rFonts w:ascii="Times New Roman" w:hAnsi="Times New Roman" w:cs="Times New Roman"/>
          <w:i/>
          <w:sz w:val="24"/>
          <w:szCs w:val="24"/>
        </w:rPr>
        <w:t>X</w:t>
      </w:r>
      <w:r w:rsidRPr="00BF790C">
        <w:rPr>
          <w:rFonts w:ascii="Times New Roman" w:hAnsi="Times New Roman" w:cs="Times New Roman"/>
          <w:i/>
          <w:sz w:val="24"/>
          <w:szCs w:val="24"/>
          <w:vertAlign w:val="subscript"/>
        </w:rPr>
        <w:t>g</w:t>
      </w:r>
      <w:r w:rsidR="00994AEB" w:rsidRPr="00BF790C">
        <w:rPr>
          <w:rFonts w:ascii="Times New Roman" w:hAnsi="Times New Roman" w:cs="Times New Roman"/>
          <w:i/>
          <w:sz w:val="24"/>
          <w:szCs w:val="24"/>
          <w:vertAlign w:val="subscript"/>
        </w:rPr>
        <w:t>t</w:t>
      </w:r>
      <w:proofErr w:type="spellEnd"/>
      <w:r w:rsidRPr="00BF790C">
        <w:rPr>
          <w:rFonts w:ascii="Times New Roman" w:hAnsi="Times New Roman" w:cs="Times New Roman"/>
          <w:sz w:val="24"/>
          <w:szCs w:val="24"/>
        </w:rPr>
        <w:t xml:space="preserve"> are the state level variables</w:t>
      </w:r>
      <w:r w:rsidR="000F3752" w:rsidRPr="00BF790C">
        <w:rPr>
          <w:rFonts w:ascii="Times New Roman" w:hAnsi="Times New Roman" w:cs="Times New Roman"/>
          <w:sz w:val="24"/>
          <w:szCs w:val="24"/>
        </w:rPr>
        <w:t>,</w:t>
      </w:r>
      <w:r w:rsidR="00994AEB" w:rsidRPr="00BF790C">
        <w:rPr>
          <w:rFonts w:ascii="Times New Roman" w:hAnsi="Times New Roman" w:cs="Times New Roman"/>
          <w:sz w:val="24"/>
          <w:szCs w:val="24"/>
        </w:rPr>
        <w:t xml:space="preserve"> the</w:t>
      </w:r>
      <w:r w:rsidRPr="00BF790C">
        <w:rPr>
          <w:rFonts w:ascii="Times New Roman" w:hAnsi="Times New Roman" w:cs="Times New Roman"/>
          <w:sz w:val="24"/>
          <w:szCs w:val="24"/>
        </w:rPr>
        <w:t xml:space="preserve"> </w:t>
      </w:r>
      <w:proofErr w:type="spellStart"/>
      <w:r w:rsidRPr="00BF790C">
        <w:rPr>
          <w:rFonts w:ascii="Times New Roman" w:hAnsi="Times New Roman" w:cs="Times New Roman"/>
          <w:i/>
          <w:sz w:val="24"/>
          <w:szCs w:val="24"/>
        </w:rPr>
        <w:t>Z</w:t>
      </w:r>
      <w:r w:rsidRPr="00BF790C">
        <w:rPr>
          <w:rFonts w:ascii="Times New Roman" w:hAnsi="Times New Roman" w:cs="Times New Roman"/>
          <w:i/>
          <w:sz w:val="24"/>
          <w:szCs w:val="24"/>
          <w:vertAlign w:val="subscript"/>
        </w:rPr>
        <w:t>ig</w:t>
      </w:r>
      <w:r w:rsidR="00994AEB" w:rsidRPr="00BF790C">
        <w:rPr>
          <w:rFonts w:ascii="Times New Roman" w:hAnsi="Times New Roman" w:cs="Times New Roman"/>
          <w:i/>
          <w:sz w:val="24"/>
          <w:szCs w:val="24"/>
          <w:vertAlign w:val="subscript"/>
        </w:rPr>
        <w:t>t</w:t>
      </w:r>
      <w:proofErr w:type="spellEnd"/>
      <w:r w:rsidRPr="00BF790C">
        <w:rPr>
          <w:rFonts w:ascii="Times New Roman" w:hAnsi="Times New Roman" w:cs="Times New Roman"/>
          <w:sz w:val="24"/>
          <w:szCs w:val="24"/>
        </w:rPr>
        <w:t xml:space="preserve"> are the </w:t>
      </w:r>
      <w:r w:rsidR="00994AEB" w:rsidRPr="00BF790C">
        <w:rPr>
          <w:rFonts w:ascii="Times New Roman" w:hAnsi="Times New Roman" w:cs="Times New Roman"/>
          <w:sz w:val="24"/>
          <w:szCs w:val="24"/>
        </w:rPr>
        <w:t xml:space="preserve">worker specific firm and personal characteristics, and </w:t>
      </w:r>
      <w:r w:rsidR="00385387" w:rsidRPr="00385387">
        <w:rPr>
          <w:rFonts w:ascii="Symbol" w:hAnsi="Symbol" w:cs="Times New Roman"/>
          <w:i/>
          <w:sz w:val="24"/>
          <w:szCs w:val="24"/>
        </w:rPr>
        <w:t></w:t>
      </w:r>
      <w:proofErr w:type="spellStart"/>
      <w:r w:rsidR="00994AEB" w:rsidRPr="00BF790C">
        <w:rPr>
          <w:rFonts w:ascii="Times New Roman" w:hAnsi="Times New Roman" w:cs="Times New Roman"/>
          <w:i/>
          <w:sz w:val="24"/>
          <w:szCs w:val="24"/>
          <w:vertAlign w:val="subscript"/>
        </w:rPr>
        <w:t>igt</w:t>
      </w:r>
      <w:proofErr w:type="spellEnd"/>
      <w:r w:rsidR="00994AEB" w:rsidRPr="00BF790C">
        <w:rPr>
          <w:rFonts w:ascii="Times New Roman" w:hAnsi="Times New Roman" w:cs="Times New Roman"/>
          <w:sz w:val="24"/>
          <w:szCs w:val="24"/>
        </w:rPr>
        <w:t xml:space="preserve"> is the error term.</w:t>
      </w:r>
    </w:p>
    <w:p w:rsidR="003B4426" w:rsidRPr="00BF790C" w:rsidRDefault="000F3752" w:rsidP="001F00BE">
      <w:pPr>
        <w:spacing w:line="480" w:lineRule="auto"/>
        <w:rPr>
          <w:rFonts w:ascii="Times New Roman" w:hAnsi="Times New Roman" w:cs="Times New Roman"/>
          <w:sz w:val="24"/>
          <w:szCs w:val="24"/>
        </w:rPr>
      </w:pPr>
      <w:proofErr w:type="spellStart"/>
      <w:r w:rsidRPr="00BF790C">
        <w:rPr>
          <w:rFonts w:ascii="Times New Roman" w:hAnsi="Times New Roman" w:cs="Times New Roman"/>
          <w:i/>
          <w:sz w:val="24"/>
          <w:szCs w:val="24"/>
        </w:rPr>
        <w:t>Z</w:t>
      </w:r>
      <w:r w:rsidRPr="00BF790C">
        <w:rPr>
          <w:rFonts w:ascii="Times New Roman" w:hAnsi="Times New Roman" w:cs="Times New Roman"/>
          <w:i/>
          <w:sz w:val="24"/>
          <w:szCs w:val="24"/>
          <w:vertAlign w:val="subscript"/>
        </w:rPr>
        <w:t>igt</w:t>
      </w:r>
      <w:proofErr w:type="spellEnd"/>
      <w:r w:rsidR="00900489" w:rsidRPr="00BF790C">
        <w:rPr>
          <w:rFonts w:ascii="Times New Roman" w:hAnsi="Times New Roman" w:cs="Times New Roman"/>
          <w:sz w:val="24"/>
          <w:szCs w:val="24"/>
        </w:rPr>
        <w:t xml:space="preserve"> include</w:t>
      </w:r>
      <w:r w:rsidRPr="00BF790C">
        <w:rPr>
          <w:rFonts w:ascii="Times New Roman" w:hAnsi="Times New Roman" w:cs="Times New Roman"/>
          <w:sz w:val="24"/>
          <w:szCs w:val="24"/>
        </w:rPr>
        <w:t xml:space="preserve"> an individual’s </w:t>
      </w:r>
      <w:r w:rsidR="002530C8" w:rsidRPr="00BF790C">
        <w:rPr>
          <w:rFonts w:ascii="Times New Roman" w:hAnsi="Times New Roman" w:cs="Times New Roman"/>
          <w:sz w:val="24"/>
          <w:szCs w:val="24"/>
        </w:rPr>
        <w:t>sex</w:t>
      </w:r>
      <w:r w:rsidR="003B4426" w:rsidRPr="00BF790C">
        <w:rPr>
          <w:rFonts w:ascii="Times New Roman" w:hAnsi="Times New Roman" w:cs="Times New Roman"/>
          <w:sz w:val="24"/>
          <w:szCs w:val="24"/>
        </w:rPr>
        <w:t xml:space="preserve">, </w:t>
      </w:r>
      <w:r w:rsidR="00A11D3E" w:rsidRPr="00BF790C">
        <w:rPr>
          <w:rFonts w:ascii="Times New Roman" w:hAnsi="Times New Roman" w:cs="Times New Roman"/>
          <w:sz w:val="24"/>
          <w:szCs w:val="24"/>
        </w:rPr>
        <w:t>age, race, citizenship, education, occupation</w:t>
      </w:r>
      <w:r w:rsidR="003B4426" w:rsidRPr="00BF790C">
        <w:rPr>
          <w:rFonts w:ascii="Times New Roman" w:hAnsi="Times New Roman" w:cs="Times New Roman"/>
          <w:sz w:val="24"/>
          <w:szCs w:val="24"/>
        </w:rPr>
        <w:t>, industry, firm size, full time/part time status, number of weeks spent</w:t>
      </w:r>
      <w:r w:rsidR="00900489" w:rsidRPr="00BF790C">
        <w:rPr>
          <w:rFonts w:ascii="Times New Roman" w:hAnsi="Times New Roman" w:cs="Times New Roman"/>
          <w:sz w:val="24"/>
          <w:szCs w:val="24"/>
        </w:rPr>
        <w:t xml:space="preserve"> unemployed, metro area residence status</w:t>
      </w:r>
      <w:r w:rsidR="003B4426" w:rsidRPr="00BF790C">
        <w:rPr>
          <w:rFonts w:ascii="Times New Roman" w:hAnsi="Times New Roman" w:cs="Times New Roman"/>
          <w:sz w:val="24"/>
          <w:szCs w:val="24"/>
        </w:rPr>
        <w:t xml:space="preserve">, classification of worker and marital status. </w:t>
      </w:r>
      <w:proofErr w:type="spellStart"/>
      <w:r w:rsidR="003D459A" w:rsidRPr="00BF790C">
        <w:rPr>
          <w:rFonts w:ascii="Times New Roman" w:hAnsi="Times New Roman" w:cs="Times New Roman"/>
          <w:i/>
          <w:sz w:val="24"/>
          <w:szCs w:val="24"/>
        </w:rPr>
        <w:t>X</w:t>
      </w:r>
      <w:r w:rsidR="003D459A" w:rsidRPr="00BF790C">
        <w:rPr>
          <w:rFonts w:ascii="Times New Roman" w:hAnsi="Times New Roman" w:cs="Times New Roman"/>
          <w:i/>
          <w:sz w:val="24"/>
          <w:szCs w:val="24"/>
          <w:vertAlign w:val="subscript"/>
        </w:rPr>
        <w:t>gt</w:t>
      </w:r>
      <w:proofErr w:type="spellEnd"/>
      <w:r w:rsidR="00900489" w:rsidRPr="00BF790C">
        <w:rPr>
          <w:rFonts w:ascii="Times New Roman" w:hAnsi="Times New Roman" w:cs="Times New Roman"/>
          <w:sz w:val="24"/>
          <w:szCs w:val="24"/>
        </w:rPr>
        <w:t xml:space="preserve"> consist</w:t>
      </w:r>
      <w:r w:rsidR="00926162" w:rsidRPr="00BF790C">
        <w:rPr>
          <w:rFonts w:ascii="Times New Roman" w:hAnsi="Times New Roman" w:cs="Times New Roman"/>
          <w:sz w:val="24"/>
          <w:szCs w:val="24"/>
        </w:rPr>
        <w:t xml:space="preserve"> of </w:t>
      </w:r>
      <w:r w:rsidR="003D459A" w:rsidRPr="00BF790C">
        <w:rPr>
          <w:rFonts w:ascii="Times New Roman" w:hAnsi="Times New Roman" w:cs="Times New Roman"/>
          <w:sz w:val="24"/>
          <w:szCs w:val="24"/>
        </w:rPr>
        <w:t>state</w:t>
      </w:r>
      <w:r w:rsidR="00411C7B" w:rsidRPr="00BF790C">
        <w:rPr>
          <w:rFonts w:ascii="Times New Roman" w:hAnsi="Times New Roman" w:cs="Times New Roman"/>
          <w:sz w:val="24"/>
          <w:szCs w:val="24"/>
        </w:rPr>
        <w:t xml:space="preserve"> level characteris</w:t>
      </w:r>
      <w:r w:rsidR="00900489" w:rsidRPr="00BF790C">
        <w:rPr>
          <w:rFonts w:ascii="Times New Roman" w:hAnsi="Times New Roman" w:cs="Times New Roman"/>
          <w:sz w:val="24"/>
          <w:szCs w:val="24"/>
        </w:rPr>
        <w:t>t</w:t>
      </w:r>
      <w:r w:rsidR="00411C7B" w:rsidRPr="00BF790C">
        <w:rPr>
          <w:rFonts w:ascii="Times New Roman" w:hAnsi="Times New Roman" w:cs="Times New Roman"/>
          <w:sz w:val="24"/>
          <w:szCs w:val="24"/>
        </w:rPr>
        <w:t>i</w:t>
      </w:r>
      <w:r w:rsidR="00900489" w:rsidRPr="00BF790C">
        <w:rPr>
          <w:rFonts w:ascii="Times New Roman" w:hAnsi="Times New Roman" w:cs="Times New Roman"/>
          <w:sz w:val="24"/>
          <w:szCs w:val="24"/>
        </w:rPr>
        <w:t>cs</w:t>
      </w:r>
      <w:r w:rsidR="003D459A" w:rsidRPr="00BF790C">
        <w:rPr>
          <w:rFonts w:ascii="Times New Roman" w:hAnsi="Times New Roman" w:cs="Times New Roman"/>
          <w:sz w:val="24"/>
          <w:szCs w:val="24"/>
        </w:rPr>
        <w:t xml:space="preserve">, including </w:t>
      </w:r>
      <w:r w:rsidR="00900489" w:rsidRPr="00BF790C">
        <w:rPr>
          <w:rFonts w:ascii="Times New Roman" w:hAnsi="Times New Roman" w:cs="Times New Roman"/>
          <w:sz w:val="24"/>
          <w:szCs w:val="24"/>
        </w:rPr>
        <w:t xml:space="preserve">the </w:t>
      </w:r>
      <w:r w:rsidR="003B4426" w:rsidRPr="00BF790C">
        <w:rPr>
          <w:rFonts w:ascii="Times New Roman" w:hAnsi="Times New Roman" w:cs="Times New Roman"/>
          <w:sz w:val="24"/>
          <w:szCs w:val="24"/>
        </w:rPr>
        <w:t>GINI</w:t>
      </w:r>
      <w:r w:rsidR="00A11D3E" w:rsidRPr="00BF790C">
        <w:rPr>
          <w:rFonts w:ascii="Times New Roman" w:hAnsi="Times New Roman" w:cs="Times New Roman"/>
          <w:sz w:val="24"/>
          <w:szCs w:val="24"/>
        </w:rPr>
        <w:t xml:space="preserve"> coefficient</w:t>
      </w:r>
      <w:r w:rsidR="00900489" w:rsidRPr="00BF790C">
        <w:rPr>
          <w:rStyle w:val="FootnoteReference"/>
          <w:rFonts w:ascii="Times New Roman" w:hAnsi="Times New Roman" w:cs="Times New Roman"/>
          <w:sz w:val="24"/>
          <w:szCs w:val="24"/>
        </w:rPr>
        <w:footnoteReference w:id="7"/>
      </w:r>
      <w:r w:rsidR="003B4426" w:rsidRPr="00BF790C">
        <w:rPr>
          <w:rFonts w:ascii="Times New Roman" w:hAnsi="Times New Roman" w:cs="Times New Roman"/>
          <w:sz w:val="24"/>
          <w:szCs w:val="24"/>
        </w:rPr>
        <w:t xml:space="preserve">, </w:t>
      </w:r>
      <w:r w:rsidR="0085391F" w:rsidRPr="00BF790C">
        <w:rPr>
          <w:rFonts w:ascii="Times New Roman" w:hAnsi="Times New Roman" w:cs="Times New Roman"/>
          <w:sz w:val="24"/>
          <w:szCs w:val="24"/>
        </w:rPr>
        <w:t>age specific unemployment rates</w:t>
      </w:r>
      <w:r w:rsidR="00900489" w:rsidRPr="00BF790C">
        <w:rPr>
          <w:rFonts w:ascii="Times New Roman" w:hAnsi="Times New Roman" w:cs="Times New Roman"/>
          <w:sz w:val="24"/>
          <w:szCs w:val="24"/>
        </w:rPr>
        <w:t xml:space="preserve"> (times an indicator for whether the trend in the unemployment rates is positive or negative)</w:t>
      </w:r>
      <w:r w:rsidR="00900489" w:rsidRPr="00BF790C">
        <w:rPr>
          <w:rStyle w:val="FootnoteReference"/>
          <w:rFonts w:ascii="Times New Roman" w:hAnsi="Times New Roman" w:cs="Times New Roman"/>
          <w:sz w:val="24"/>
          <w:szCs w:val="24"/>
        </w:rPr>
        <w:footnoteReference w:id="8"/>
      </w:r>
      <w:r w:rsidR="00900489" w:rsidRPr="00BF790C">
        <w:rPr>
          <w:rFonts w:ascii="Times New Roman" w:hAnsi="Times New Roman" w:cs="Times New Roman"/>
          <w:sz w:val="24"/>
          <w:szCs w:val="24"/>
        </w:rPr>
        <w:t>, the unionization rate,</w:t>
      </w:r>
      <w:r w:rsidR="0085391F" w:rsidRPr="00BF790C">
        <w:rPr>
          <w:rFonts w:ascii="Times New Roman" w:hAnsi="Times New Roman" w:cs="Times New Roman"/>
          <w:sz w:val="24"/>
          <w:szCs w:val="24"/>
        </w:rPr>
        <w:t xml:space="preserve"> </w:t>
      </w:r>
      <w:r w:rsidR="00900489" w:rsidRPr="00BF790C">
        <w:rPr>
          <w:rFonts w:ascii="Times New Roman" w:hAnsi="Times New Roman" w:cs="Times New Roman"/>
          <w:sz w:val="24"/>
          <w:szCs w:val="24"/>
        </w:rPr>
        <w:t xml:space="preserve">and </w:t>
      </w:r>
      <w:r w:rsidR="0085391F" w:rsidRPr="00BF790C">
        <w:rPr>
          <w:rFonts w:ascii="Times New Roman" w:hAnsi="Times New Roman" w:cs="Times New Roman"/>
          <w:sz w:val="24"/>
          <w:szCs w:val="24"/>
        </w:rPr>
        <w:t xml:space="preserve">the </w:t>
      </w:r>
      <w:r w:rsidR="003B4426" w:rsidRPr="00BF790C">
        <w:rPr>
          <w:rFonts w:ascii="Times New Roman" w:hAnsi="Times New Roman" w:cs="Times New Roman"/>
          <w:sz w:val="24"/>
          <w:szCs w:val="24"/>
        </w:rPr>
        <w:t xml:space="preserve">fraction of the state’s population of workers aged 25-64 who are younger than 40, have more </w:t>
      </w:r>
      <w:r w:rsidR="00900489" w:rsidRPr="00BF790C">
        <w:rPr>
          <w:rFonts w:ascii="Times New Roman" w:hAnsi="Times New Roman" w:cs="Times New Roman"/>
          <w:sz w:val="24"/>
          <w:szCs w:val="24"/>
        </w:rPr>
        <w:t>than 2 yrs of college education</w:t>
      </w:r>
      <w:r w:rsidR="003B4426" w:rsidRPr="00BF790C">
        <w:rPr>
          <w:rFonts w:ascii="Times New Roman" w:hAnsi="Times New Roman" w:cs="Times New Roman"/>
          <w:sz w:val="24"/>
          <w:szCs w:val="24"/>
        </w:rPr>
        <w:t xml:space="preserve"> </w:t>
      </w:r>
      <w:r w:rsidR="00900489" w:rsidRPr="00BF790C">
        <w:rPr>
          <w:rFonts w:ascii="Times New Roman" w:hAnsi="Times New Roman" w:cs="Times New Roman"/>
          <w:sz w:val="24"/>
          <w:szCs w:val="24"/>
        </w:rPr>
        <w:t>or</w:t>
      </w:r>
      <w:r w:rsidR="0085391F" w:rsidRPr="00BF790C">
        <w:rPr>
          <w:rFonts w:ascii="Times New Roman" w:hAnsi="Times New Roman" w:cs="Times New Roman"/>
          <w:sz w:val="24"/>
          <w:szCs w:val="24"/>
        </w:rPr>
        <w:t xml:space="preserve"> </w:t>
      </w:r>
      <w:r w:rsidR="003B4426" w:rsidRPr="00BF790C">
        <w:rPr>
          <w:rFonts w:ascii="Times New Roman" w:hAnsi="Times New Roman" w:cs="Times New Roman"/>
          <w:sz w:val="24"/>
          <w:szCs w:val="24"/>
        </w:rPr>
        <w:t>are employed in a small firm (with 99 emp</w:t>
      </w:r>
      <w:r w:rsidR="00BC1F89" w:rsidRPr="00BF790C">
        <w:rPr>
          <w:rFonts w:ascii="Times New Roman" w:hAnsi="Times New Roman" w:cs="Times New Roman"/>
          <w:sz w:val="24"/>
          <w:szCs w:val="24"/>
        </w:rPr>
        <w:t>loyees or less)</w:t>
      </w:r>
      <w:r w:rsidR="003B4426" w:rsidRPr="00BF790C">
        <w:rPr>
          <w:rFonts w:ascii="Times New Roman" w:hAnsi="Times New Roman" w:cs="Times New Roman"/>
          <w:sz w:val="24"/>
          <w:szCs w:val="24"/>
        </w:rPr>
        <w:t xml:space="preserve">. </w:t>
      </w:r>
    </w:p>
    <w:p w:rsidR="00BC1F89" w:rsidRPr="00BF790C" w:rsidRDefault="00994AEB"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W</w:t>
      </w:r>
      <w:r w:rsidR="00A11D3E" w:rsidRPr="00BF790C">
        <w:rPr>
          <w:rFonts w:ascii="Times New Roman" w:hAnsi="Times New Roman" w:cs="Times New Roman"/>
          <w:sz w:val="24"/>
          <w:szCs w:val="24"/>
        </w:rPr>
        <w:t xml:space="preserve">e run the </w:t>
      </w:r>
      <w:proofErr w:type="spellStart"/>
      <w:r w:rsidR="00A11D3E" w:rsidRPr="00BF790C">
        <w:rPr>
          <w:rFonts w:ascii="Times New Roman" w:hAnsi="Times New Roman" w:cs="Times New Roman"/>
          <w:sz w:val="24"/>
          <w:szCs w:val="24"/>
        </w:rPr>
        <w:t>p</w:t>
      </w:r>
      <w:r w:rsidR="00BC1F89" w:rsidRPr="00BF790C">
        <w:rPr>
          <w:rFonts w:ascii="Times New Roman" w:hAnsi="Times New Roman" w:cs="Times New Roman"/>
          <w:sz w:val="24"/>
          <w:szCs w:val="24"/>
        </w:rPr>
        <w:t>robit</w:t>
      </w:r>
      <w:proofErr w:type="spellEnd"/>
      <w:r w:rsidR="00BC1F89" w:rsidRPr="00BF790C">
        <w:rPr>
          <w:rFonts w:ascii="Times New Roman" w:hAnsi="Times New Roman" w:cs="Times New Roman"/>
          <w:sz w:val="24"/>
          <w:szCs w:val="24"/>
        </w:rPr>
        <w:t xml:space="preserve"> regressions</w:t>
      </w:r>
      <w:r w:rsidR="0085391F" w:rsidRPr="00BF790C">
        <w:rPr>
          <w:rFonts w:ascii="Times New Roman" w:hAnsi="Times New Roman" w:cs="Times New Roman"/>
          <w:sz w:val="24"/>
          <w:szCs w:val="24"/>
        </w:rPr>
        <w:t xml:space="preserve"> on </w:t>
      </w:r>
      <w:r w:rsidR="00900489" w:rsidRPr="00BF790C">
        <w:rPr>
          <w:rFonts w:ascii="Times New Roman" w:hAnsi="Times New Roman" w:cs="Times New Roman"/>
          <w:sz w:val="24"/>
          <w:szCs w:val="24"/>
        </w:rPr>
        <w:t xml:space="preserve">2000-2002 </w:t>
      </w:r>
      <w:r w:rsidR="0085391F" w:rsidRPr="00BF790C">
        <w:rPr>
          <w:rFonts w:ascii="Times New Roman" w:hAnsi="Times New Roman" w:cs="Times New Roman"/>
          <w:sz w:val="24"/>
          <w:szCs w:val="24"/>
        </w:rPr>
        <w:t xml:space="preserve">and </w:t>
      </w:r>
      <w:r w:rsidR="00900489" w:rsidRPr="00BF790C">
        <w:rPr>
          <w:rFonts w:ascii="Times New Roman" w:hAnsi="Times New Roman" w:cs="Times New Roman"/>
          <w:sz w:val="24"/>
          <w:szCs w:val="24"/>
        </w:rPr>
        <w:t>2010-2012</w:t>
      </w:r>
      <w:r w:rsidR="0085391F" w:rsidRPr="00BF790C">
        <w:rPr>
          <w:rFonts w:ascii="Times New Roman" w:hAnsi="Times New Roman" w:cs="Times New Roman"/>
          <w:sz w:val="24"/>
          <w:szCs w:val="24"/>
        </w:rPr>
        <w:t xml:space="preserve"> data</w:t>
      </w:r>
      <w:r w:rsidRPr="00BF790C">
        <w:rPr>
          <w:rFonts w:ascii="Times New Roman" w:hAnsi="Times New Roman" w:cs="Times New Roman"/>
          <w:sz w:val="24"/>
          <w:szCs w:val="24"/>
        </w:rPr>
        <w:t xml:space="preserve"> separately to get estimates of </w:t>
      </w:r>
      <w:r w:rsidR="00385387" w:rsidRPr="00385387">
        <w:rPr>
          <w:rFonts w:ascii="Symbol" w:hAnsi="Symbol" w:cs="Times New Roman"/>
          <w:i/>
          <w:sz w:val="24"/>
          <w:szCs w:val="24"/>
        </w:rPr>
        <w:t></w:t>
      </w:r>
      <w:r w:rsidRPr="00BF790C">
        <w:rPr>
          <w:rFonts w:ascii="Times New Roman" w:hAnsi="Times New Roman" w:cs="Times New Roman"/>
          <w:i/>
          <w:sz w:val="24"/>
          <w:szCs w:val="24"/>
          <w:vertAlign w:val="subscript"/>
        </w:rPr>
        <w:t>t</w:t>
      </w:r>
      <w:r w:rsidRPr="00BF790C">
        <w:rPr>
          <w:rFonts w:ascii="Times New Roman" w:hAnsi="Times New Roman" w:cs="Times New Roman"/>
          <w:sz w:val="24"/>
          <w:szCs w:val="24"/>
        </w:rPr>
        <w:t xml:space="preserve"> and </w:t>
      </w:r>
      <w:r w:rsidR="00385387">
        <w:rPr>
          <w:rFonts w:ascii="Symbol" w:hAnsi="Symbol" w:cs="Times New Roman"/>
          <w:i/>
          <w:sz w:val="24"/>
          <w:szCs w:val="24"/>
        </w:rPr>
        <w:t></w:t>
      </w:r>
      <w:r w:rsidRPr="00BF790C">
        <w:rPr>
          <w:rFonts w:ascii="Times New Roman" w:hAnsi="Times New Roman" w:cs="Times New Roman"/>
          <w:i/>
          <w:sz w:val="24"/>
          <w:szCs w:val="24"/>
          <w:vertAlign w:val="subscript"/>
        </w:rPr>
        <w:t>t</w:t>
      </w:r>
      <w:r w:rsidRPr="00BF790C">
        <w:rPr>
          <w:rFonts w:ascii="Times New Roman" w:hAnsi="Times New Roman" w:cs="Times New Roman"/>
          <w:sz w:val="24"/>
          <w:szCs w:val="24"/>
        </w:rPr>
        <w:t xml:space="preserve"> for each </w:t>
      </w:r>
      <w:r w:rsidR="00340181" w:rsidRPr="00BF790C">
        <w:rPr>
          <w:rFonts w:ascii="Times New Roman" w:hAnsi="Times New Roman" w:cs="Times New Roman"/>
          <w:sz w:val="24"/>
          <w:szCs w:val="24"/>
        </w:rPr>
        <w:t>period</w:t>
      </w:r>
      <w:r w:rsidRPr="00BF790C">
        <w:rPr>
          <w:rFonts w:ascii="Times New Roman" w:hAnsi="Times New Roman" w:cs="Times New Roman"/>
          <w:sz w:val="24"/>
          <w:szCs w:val="24"/>
        </w:rPr>
        <w:t xml:space="preserve">. We </w:t>
      </w:r>
      <w:r w:rsidR="00A11D3E" w:rsidRPr="00BF790C">
        <w:rPr>
          <w:rFonts w:ascii="Times New Roman" w:hAnsi="Times New Roman" w:cs="Times New Roman"/>
          <w:sz w:val="24"/>
          <w:szCs w:val="24"/>
        </w:rPr>
        <w:t xml:space="preserve">then </w:t>
      </w:r>
      <w:r w:rsidR="00BC1F89" w:rsidRPr="00BF790C">
        <w:rPr>
          <w:rFonts w:ascii="Times New Roman" w:hAnsi="Times New Roman" w:cs="Times New Roman"/>
          <w:sz w:val="24"/>
          <w:szCs w:val="24"/>
        </w:rPr>
        <w:t xml:space="preserve">apply a version of the Oaxaca-Blinder decomposition technique to the </w:t>
      </w:r>
      <w:r w:rsidR="0085391F" w:rsidRPr="00BF790C">
        <w:rPr>
          <w:rFonts w:ascii="Times New Roman" w:hAnsi="Times New Roman" w:cs="Times New Roman"/>
          <w:sz w:val="24"/>
          <w:szCs w:val="24"/>
        </w:rPr>
        <w:t>results</w:t>
      </w:r>
      <w:r w:rsidR="00BC1F89" w:rsidRPr="00BF790C">
        <w:rPr>
          <w:rFonts w:ascii="Times New Roman" w:hAnsi="Times New Roman" w:cs="Times New Roman"/>
          <w:sz w:val="24"/>
          <w:szCs w:val="24"/>
        </w:rPr>
        <w:t>. The threefold decomposition</w:t>
      </w:r>
      <w:r w:rsidR="00340181" w:rsidRPr="00BF790C">
        <w:rPr>
          <w:rStyle w:val="FootnoteReference"/>
          <w:rFonts w:ascii="Times New Roman" w:hAnsi="Times New Roman" w:cs="Times New Roman"/>
          <w:sz w:val="24"/>
          <w:szCs w:val="24"/>
        </w:rPr>
        <w:footnoteReference w:id="9"/>
      </w:r>
      <w:r w:rsidR="00340181" w:rsidRPr="00BF790C">
        <w:rPr>
          <w:rFonts w:ascii="Times New Roman" w:hAnsi="Times New Roman" w:cs="Times New Roman"/>
          <w:sz w:val="24"/>
          <w:szCs w:val="24"/>
        </w:rPr>
        <w:t xml:space="preserve"> </w:t>
      </w:r>
      <w:r w:rsidR="00BC1F89" w:rsidRPr="00BF790C">
        <w:rPr>
          <w:rFonts w:ascii="Times New Roman" w:hAnsi="Times New Roman" w:cs="Times New Roman"/>
          <w:sz w:val="24"/>
          <w:szCs w:val="24"/>
        </w:rPr>
        <w:t xml:space="preserve">breaks down the predicted change in pension coverage </w:t>
      </w:r>
      <w:r w:rsidR="0085391F" w:rsidRPr="00BF790C">
        <w:rPr>
          <w:rFonts w:ascii="Times New Roman" w:hAnsi="Times New Roman" w:cs="Times New Roman"/>
          <w:sz w:val="24"/>
          <w:szCs w:val="24"/>
        </w:rPr>
        <w:t xml:space="preserve">between </w:t>
      </w:r>
      <w:r w:rsidR="00340181" w:rsidRPr="00BF790C">
        <w:rPr>
          <w:rFonts w:ascii="Times New Roman" w:hAnsi="Times New Roman" w:cs="Times New Roman"/>
          <w:sz w:val="24"/>
          <w:szCs w:val="24"/>
        </w:rPr>
        <w:t xml:space="preserve">2000-2002 and 2010-2012 </w:t>
      </w:r>
      <w:r w:rsidR="00BC1F89" w:rsidRPr="00BF790C">
        <w:rPr>
          <w:rFonts w:ascii="Times New Roman" w:hAnsi="Times New Roman" w:cs="Times New Roman"/>
          <w:sz w:val="24"/>
          <w:szCs w:val="24"/>
        </w:rPr>
        <w:t xml:space="preserve">into an </w:t>
      </w:r>
      <w:r w:rsidR="00D73CE1" w:rsidRPr="00BF790C">
        <w:rPr>
          <w:rFonts w:ascii="Times New Roman" w:hAnsi="Times New Roman" w:cs="Times New Roman"/>
          <w:sz w:val="24"/>
          <w:szCs w:val="24"/>
        </w:rPr>
        <w:t>endowment effect</w:t>
      </w:r>
      <w:r w:rsidR="00D73CE1" w:rsidRPr="00BF790C">
        <w:rPr>
          <w:rStyle w:val="FootnoteReference"/>
          <w:rFonts w:ascii="Times New Roman" w:hAnsi="Times New Roman" w:cs="Times New Roman"/>
          <w:sz w:val="24"/>
          <w:szCs w:val="24"/>
        </w:rPr>
        <w:footnoteReference w:id="10"/>
      </w:r>
      <w:r w:rsidR="00BC1F89" w:rsidRPr="00BF790C">
        <w:rPr>
          <w:rFonts w:ascii="Times New Roman" w:hAnsi="Times New Roman" w:cs="Times New Roman"/>
          <w:sz w:val="24"/>
          <w:szCs w:val="24"/>
        </w:rPr>
        <w:t xml:space="preserve"> (</w:t>
      </w:r>
      <w:r w:rsidR="003D459A" w:rsidRPr="00BF790C">
        <w:rPr>
          <w:rFonts w:ascii="Times New Roman" w:hAnsi="Times New Roman" w:cs="Times New Roman"/>
          <w:sz w:val="24"/>
          <w:szCs w:val="24"/>
        </w:rPr>
        <w:t xml:space="preserve">consisting of changes in worker, </w:t>
      </w:r>
      <w:r w:rsidR="00BC1F89" w:rsidRPr="00BF790C">
        <w:rPr>
          <w:rFonts w:ascii="Times New Roman" w:hAnsi="Times New Roman" w:cs="Times New Roman"/>
          <w:sz w:val="24"/>
          <w:szCs w:val="24"/>
        </w:rPr>
        <w:t xml:space="preserve">firm </w:t>
      </w:r>
      <w:r w:rsidR="003D459A" w:rsidRPr="00BF790C">
        <w:rPr>
          <w:rFonts w:ascii="Times New Roman" w:hAnsi="Times New Roman" w:cs="Times New Roman"/>
          <w:sz w:val="24"/>
          <w:szCs w:val="24"/>
        </w:rPr>
        <w:t xml:space="preserve">and state </w:t>
      </w:r>
      <w:r w:rsidR="00BC1F89" w:rsidRPr="00BF790C">
        <w:rPr>
          <w:rFonts w:ascii="Times New Roman" w:hAnsi="Times New Roman" w:cs="Times New Roman"/>
          <w:sz w:val="24"/>
          <w:szCs w:val="24"/>
        </w:rPr>
        <w:t xml:space="preserve">characteristics multiplied by </w:t>
      </w:r>
      <w:proofErr w:type="spellStart"/>
      <w:r w:rsidR="00BC1F89" w:rsidRPr="00BF790C">
        <w:rPr>
          <w:rFonts w:ascii="Times New Roman" w:hAnsi="Times New Roman" w:cs="Times New Roman"/>
          <w:sz w:val="24"/>
          <w:szCs w:val="24"/>
        </w:rPr>
        <w:t>probit</w:t>
      </w:r>
      <w:proofErr w:type="spellEnd"/>
      <w:r w:rsidR="00BC1F89" w:rsidRPr="00BF790C">
        <w:rPr>
          <w:rFonts w:ascii="Times New Roman" w:hAnsi="Times New Roman" w:cs="Times New Roman"/>
          <w:sz w:val="24"/>
          <w:szCs w:val="24"/>
        </w:rPr>
        <w:t xml:space="preserve"> coefficients from the base </w:t>
      </w:r>
      <w:r w:rsidR="00340181" w:rsidRPr="00BF790C">
        <w:rPr>
          <w:rFonts w:ascii="Times New Roman" w:hAnsi="Times New Roman" w:cs="Times New Roman"/>
          <w:sz w:val="24"/>
          <w:szCs w:val="24"/>
        </w:rPr>
        <w:t>period</w:t>
      </w:r>
      <w:r w:rsidR="00BC1F89" w:rsidRPr="00BF790C">
        <w:rPr>
          <w:rFonts w:ascii="Times New Roman" w:hAnsi="Times New Roman" w:cs="Times New Roman"/>
          <w:sz w:val="24"/>
          <w:szCs w:val="24"/>
        </w:rPr>
        <w:t xml:space="preserve">), </w:t>
      </w:r>
      <w:r w:rsidR="00D73CE1" w:rsidRPr="00BF790C">
        <w:rPr>
          <w:rFonts w:ascii="Times New Roman" w:hAnsi="Times New Roman" w:cs="Times New Roman"/>
          <w:sz w:val="24"/>
          <w:szCs w:val="24"/>
        </w:rPr>
        <w:t>a coefficient effect</w:t>
      </w:r>
      <w:r w:rsidR="00D73CE1" w:rsidRPr="00BF790C">
        <w:rPr>
          <w:rStyle w:val="FootnoteReference"/>
          <w:rFonts w:ascii="Times New Roman" w:hAnsi="Times New Roman" w:cs="Times New Roman"/>
          <w:sz w:val="24"/>
          <w:szCs w:val="24"/>
        </w:rPr>
        <w:footnoteReference w:id="11"/>
      </w:r>
      <w:r w:rsidR="00BC1F89" w:rsidRPr="00BF790C">
        <w:rPr>
          <w:rFonts w:ascii="Times New Roman" w:hAnsi="Times New Roman" w:cs="Times New Roman"/>
          <w:sz w:val="24"/>
          <w:szCs w:val="24"/>
        </w:rPr>
        <w:t xml:space="preserve"> (consisting of changes in </w:t>
      </w:r>
      <w:proofErr w:type="spellStart"/>
      <w:r w:rsidR="00BC1F89" w:rsidRPr="00BF790C">
        <w:rPr>
          <w:rFonts w:ascii="Times New Roman" w:hAnsi="Times New Roman" w:cs="Times New Roman"/>
          <w:sz w:val="24"/>
          <w:szCs w:val="24"/>
        </w:rPr>
        <w:t>probit</w:t>
      </w:r>
      <w:proofErr w:type="spellEnd"/>
      <w:r w:rsidR="00BC1F89" w:rsidRPr="00BF790C">
        <w:rPr>
          <w:rFonts w:ascii="Times New Roman" w:hAnsi="Times New Roman" w:cs="Times New Roman"/>
          <w:sz w:val="24"/>
          <w:szCs w:val="24"/>
        </w:rPr>
        <w:t xml:space="preserve"> coefficients across the two </w:t>
      </w:r>
      <w:r w:rsidR="00340181" w:rsidRPr="00BF790C">
        <w:rPr>
          <w:rFonts w:ascii="Times New Roman" w:hAnsi="Times New Roman" w:cs="Times New Roman"/>
          <w:sz w:val="24"/>
          <w:szCs w:val="24"/>
        </w:rPr>
        <w:t>periods</w:t>
      </w:r>
      <w:r w:rsidR="00BC1F89" w:rsidRPr="00BF790C">
        <w:rPr>
          <w:rFonts w:ascii="Times New Roman" w:hAnsi="Times New Roman" w:cs="Times New Roman"/>
          <w:sz w:val="24"/>
          <w:szCs w:val="24"/>
        </w:rPr>
        <w:t xml:space="preserve"> multiplied by worker</w:t>
      </w:r>
      <w:r w:rsidR="003D459A" w:rsidRPr="00BF790C">
        <w:rPr>
          <w:rFonts w:ascii="Times New Roman" w:hAnsi="Times New Roman" w:cs="Times New Roman"/>
          <w:sz w:val="24"/>
          <w:szCs w:val="24"/>
        </w:rPr>
        <w:t xml:space="preserve">, </w:t>
      </w:r>
      <w:r w:rsidR="00BC1F89" w:rsidRPr="00BF790C">
        <w:rPr>
          <w:rFonts w:ascii="Times New Roman" w:hAnsi="Times New Roman" w:cs="Times New Roman"/>
          <w:sz w:val="24"/>
          <w:szCs w:val="24"/>
        </w:rPr>
        <w:t>firm</w:t>
      </w:r>
      <w:r w:rsidR="003D459A" w:rsidRPr="00BF790C">
        <w:rPr>
          <w:rFonts w:ascii="Times New Roman" w:hAnsi="Times New Roman" w:cs="Times New Roman"/>
          <w:sz w:val="24"/>
          <w:szCs w:val="24"/>
        </w:rPr>
        <w:t xml:space="preserve"> and state</w:t>
      </w:r>
      <w:r w:rsidR="00BC1F89" w:rsidRPr="00BF790C">
        <w:rPr>
          <w:rFonts w:ascii="Times New Roman" w:hAnsi="Times New Roman" w:cs="Times New Roman"/>
          <w:sz w:val="24"/>
          <w:szCs w:val="24"/>
        </w:rPr>
        <w:t xml:space="preserve"> characteristics from the base </w:t>
      </w:r>
      <w:r w:rsidR="00340181" w:rsidRPr="00BF790C">
        <w:rPr>
          <w:rFonts w:ascii="Times New Roman" w:hAnsi="Times New Roman" w:cs="Times New Roman"/>
          <w:sz w:val="24"/>
          <w:szCs w:val="24"/>
        </w:rPr>
        <w:t>period</w:t>
      </w:r>
      <w:r w:rsidR="00BC1F89" w:rsidRPr="00BF790C">
        <w:rPr>
          <w:rFonts w:ascii="Times New Roman" w:hAnsi="Times New Roman" w:cs="Times New Roman"/>
          <w:sz w:val="24"/>
          <w:szCs w:val="24"/>
        </w:rPr>
        <w:t xml:space="preserve">), and an interaction term (consisting of the change in </w:t>
      </w:r>
      <w:proofErr w:type="spellStart"/>
      <w:r w:rsidR="00BC1F89" w:rsidRPr="00BF790C">
        <w:rPr>
          <w:rFonts w:ascii="Times New Roman" w:hAnsi="Times New Roman" w:cs="Times New Roman"/>
          <w:sz w:val="24"/>
          <w:szCs w:val="24"/>
        </w:rPr>
        <w:t>probit</w:t>
      </w:r>
      <w:proofErr w:type="spellEnd"/>
      <w:r w:rsidR="00BC1F89" w:rsidRPr="00BF790C">
        <w:rPr>
          <w:rFonts w:ascii="Times New Roman" w:hAnsi="Times New Roman" w:cs="Times New Roman"/>
          <w:sz w:val="24"/>
          <w:szCs w:val="24"/>
        </w:rPr>
        <w:t xml:space="preserve"> coefficients multiplied by the change in characteristics). </w:t>
      </w:r>
    </w:p>
    <w:p w:rsidR="00340181" w:rsidRPr="00BF790C" w:rsidRDefault="00BC1F89"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This decomposition is applicable to our analysis because we are comparing two </w:t>
      </w:r>
      <w:r w:rsidR="00340181" w:rsidRPr="00BF790C">
        <w:rPr>
          <w:rFonts w:ascii="Times New Roman" w:hAnsi="Times New Roman" w:cs="Times New Roman"/>
          <w:sz w:val="24"/>
          <w:szCs w:val="24"/>
        </w:rPr>
        <w:t>periods</w:t>
      </w:r>
      <w:r w:rsidRPr="00BF790C">
        <w:rPr>
          <w:rFonts w:ascii="Times New Roman" w:hAnsi="Times New Roman" w:cs="Times New Roman"/>
          <w:sz w:val="24"/>
          <w:szCs w:val="24"/>
        </w:rPr>
        <w:t xml:space="preserve">, </w:t>
      </w:r>
      <w:r w:rsidR="00340181" w:rsidRPr="00BF790C">
        <w:rPr>
          <w:rFonts w:ascii="Times New Roman" w:hAnsi="Times New Roman" w:cs="Times New Roman"/>
          <w:sz w:val="24"/>
          <w:szCs w:val="24"/>
        </w:rPr>
        <w:t>2000-2002 and 2010-2012</w:t>
      </w:r>
      <w:r w:rsidRPr="00BF790C">
        <w:rPr>
          <w:rFonts w:ascii="Times New Roman" w:hAnsi="Times New Roman" w:cs="Times New Roman"/>
          <w:sz w:val="24"/>
          <w:szCs w:val="24"/>
        </w:rPr>
        <w:t xml:space="preserve">, and we ask what would have happened to sponsorship rates if worker and firm characteristics remained the same as in </w:t>
      </w:r>
      <w:r w:rsidR="00340181" w:rsidRPr="00BF790C">
        <w:rPr>
          <w:rFonts w:ascii="Times New Roman" w:hAnsi="Times New Roman" w:cs="Times New Roman"/>
          <w:sz w:val="24"/>
          <w:szCs w:val="24"/>
        </w:rPr>
        <w:t>2000-2002</w:t>
      </w:r>
      <w:r w:rsidRPr="00BF790C">
        <w:rPr>
          <w:rFonts w:ascii="Times New Roman" w:hAnsi="Times New Roman" w:cs="Times New Roman"/>
          <w:sz w:val="24"/>
          <w:szCs w:val="24"/>
        </w:rPr>
        <w:t>, but the importance of those characteristics in determining sponsorship rates changed</w:t>
      </w:r>
      <w:r w:rsidR="00E359C1" w:rsidRPr="00BF790C">
        <w:rPr>
          <w:rFonts w:ascii="Times New Roman" w:hAnsi="Times New Roman" w:cs="Times New Roman"/>
          <w:sz w:val="24"/>
          <w:szCs w:val="24"/>
        </w:rPr>
        <w:t xml:space="preserve"> (the </w:t>
      </w:r>
      <w:r w:rsidR="00D73CE1" w:rsidRPr="00BF790C">
        <w:rPr>
          <w:rFonts w:ascii="Times New Roman" w:hAnsi="Times New Roman" w:cs="Times New Roman"/>
          <w:sz w:val="24"/>
          <w:szCs w:val="24"/>
        </w:rPr>
        <w:t>coefficient effect</w:t>
      </w:r>
      <w:r w:rsidR="00E359C1" w:rsidRPr="00BF790C">
        <w:rPr>
          <w:rFonts w:ascii="Times New Roman" w:hAnsi="Times New Roman" w:cs="Times New Roman"/>
          <w:sz w:val="24"/>
          <w:szCs w:val="24"/>
        </w:rPr>
        <w:t>)</w:t>
      </w:r>
      <w:r w:rsidRPr="00BF790C">
        <w:rPr>
          <w:rFonts w:ascii="Times New Roman" w:hAnsi="Times New Roman" w:cs="Times New Roman"/>
          <w:sz w:val="24"/>
          <w:szCs w:val="24"/>
        </w:rPr>
        <w:t xml:space="preserve">. We also ask what would have happened to sponsorship rates if the characteristics changed over time, but their importance in determining pension sponsorship rates stayed as in </w:t>
      </w:r>
      <w:r w:rsidR="00340181" w:rsidRPr="00BF790C">
        <w:rPr>
          <w:rFonts w:ascii="Times New Roman" w:hAnsi="Times New Roman" w:cs="Times New Roman"/>
          <w:sz w:val="24"/>
          <w:szCs w:val="24"/>
        </w:rPr>
        <w:t>2000-2002</w:t>
      </w:r>
      <w:r w:rsidR="00E359C1" w:rsidRPr="00BF790C">
        <w:rPr>
          <w:rFonts w:ascii="Times New Roman" w:hAnsi="Times New Roman" w:cs="Times New Roman"/>
          <w:sz w:val="24"/>
          <w:szCs w:val="24"/>
        </w:rPr>
        <w:t xml:space="preserve"> (the </w:t>
      </w:r>
      <w:r w:rsidR="00D73CE1" w:rsidRPr="00BF790C">
        <w:rPr>
          <w:rFonts w:ascii="Times New Roman" w:hAnsi="Times New Roman" w:cs="Times New Roman"/>
          <w:sz w:val="24"/>
          <w:szCs w:val="24"/>
        </w:rPr>
        <w:t>endowment effect</w:t>
      </w:r>
      <w:r w:rsidR="00E359C1" w:rsidRPr="00BF790C">
        <w:rPr>
          <w:rFonts w:ascii="Times New Roman" w:hAnsi="Times New Roman" w:cs="Times New Roman"/>
          <w:sz w:val="24"/>
          <w:szCs w:val="24"/>
        </w:rPr>
        <w:t>)</w:t>
      </w:r>
      <w:r w:rsidR="00340181" w:rsidRPr="00BF790C">
        <w:rPr>
          <w:rStyle w:val="FootnoteReference"/>
          <w:rFonts w:ascii="Times New Roman" w:hAnsi="Times New Roman" w:cs="Times New Roman"/>
          <w:sz w:val="24"/>
          <w:szCs w:val="24"/>
        </w:rPr>
        <w:footnoteReference w:id="12"/>
      </w:r>
      <w:r w:rsidRPr="00BF790C">
        <w:rPr>
          <w:rFonts w:ascii="Times New Roman" w:hAnsi="Times New Roman" w:cs="Times New Roman"/>
          <w:sz w:val="24"/>
          <w:szCs w:val="24"/>
        </w:rPr>
        <w:t xml:space="preserve">. </w:t>
      </w:r>
    </w:p>
    <w:p w:rsidR="004F489F" w:rsidRPr="00BF790C" w:rsidRDefault="006313F7"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We apply the </w:t>
      </w:r>
      <w:proofErr w:type="spellStart"/>
      <w:r w:rsidRPr="00BF790C">
        <w:rPr>
          <w:rFonts w:ascii="Times New Roman" w:hAnsi="Times New Roman" w:cs="Times New Roman"/>
          <w:sz w:val="24"/>
          <w:szCs w:val="24"/>
        </w:rPr>
        <w:t>Yun</w:t>
      </w:r>
      <w:proofErr w:type="spellEnd"/>
      <w:r w:rsidRPr="00BF790C">
        <w:rPr>
          <w:rFonts w:ascii="Times New Roman" w:hAnsi="Times New Roman" w:cs="Times New Roman"/>
          <w:sz w:val="24"/>
          <w:szCs w:val="24"/>
        </w:rPr>
        <w:t xml:space="preserve"> (2005) transformation to the </w:t>
      </w:r>
      <w:proofErr w:type="spellStart"/>
      <w:r w:rsidR="00E359C1" w:rsidRPr="00BF790C">
        <w:rPr>
          <w:rFonts w:ascii="Times New Roman" w:hAnsi="Times New Roman" w:cs="Times New Roman"/>
          <w:sz w:val="24"/>
          <w:szCs w:val="24"/>
        </w:rPr>
        <w:t>probit</w:t>
      </w:r>
      <w:proofErr w:type="spellEnd"/>
      <w:r w:rsidR="00E359C1" w:rsidRPr="00BF790C">
        <w:rPr>
          <w:rFonts w:ascii="Times New Roman" w:hAnsi="Times New Roman" w:cs="Times New Roman"/>
          <w:sz w:val="24"/>
          <w:szCs w:val="24"/>
        </w:rPr>
        <w:t xml:space="preserve"> </w:t>
      </w:r>
      <w:r w:rsidRPr="00BF790C">
        <w:rPr>
          <w:rFonts w:ascii="Times New Roman" w:hAnsi="Times New Roman" w:cs="Times New Roman"/>
          <w:sz w:val="24"/>
          <w:szCs w:val="24"/>
        </w:rPr>
        <w:t>coefficients to make the</w:t>
      </w:r>
      <w:r w:rsidR="00E359C1" w:rsidRPr="00BF790C">
        <w:rPr>
          <w:rFonts w:ascii="Times New Roman" w:hAnsi="Times New Roman" w:cs="Times New Roman"/>
          <w:sz w:val="24"/>
          <w:szCs w:val="24"/>
        </w:rPr>
        <w:t>m</w:t>
      </w:r>
      <w:r w:rsidRPr="00BF790C">
        <w:rPr>
          <w:rFonts w:ascii="Times New Roman" w:hAnsi="Times New Roman" w:cs="Times New Roman"/>
          <w:sz w:val="24"/>
          <w:szCs w:val="24"/>
        </w:rPr>
        <w:t xml:space="preserve"> </w:t>
      </w:r>
      <w:r w:rsidR="00E359C1" w:rsidRPr="00BF790C">
        <w:rPr>
          <w:rFonts w:ascii="Times New Roman" w:hAnsi="Times New Roman" w:cs="Times New Roman"/>
          <w:sz w:val="24"/>
          <w:szCs w:val="24"/>
        </w:rPr>
        <w:t>invariant to</w:t>
      </w:r>
      <w:r w:rsidRPr="00BF790C">
        <w:rPr>
          <w:rFonts w:ascii="Times New Roman" w:hAnsi="Times New Roman" w:cs="Times New Roman"/>
          <w:sz w:val="24"/>
          <w:szCs w:val="24"/>
        </w:rPr>
        <w:t xml:space="preserve"> the choice of omitted category variables. </w:t>
      </w:r>
      <w:r w:rsidR="00BC1F89" w:rsidRPr="00BF790C">
        <w:rPr>
          <w:rFonts w:ascii="Times New Roman" w:hAnsi="Times New Roman" w:cs="Times New Roman"/>
          <w:sz w:val="24"/>
          <w:szCs w:val="24"/>
        </w:rPr>
        <w:t xml:space="preserve">We then </w:t>
      </w:r>
      <w:r w:rsidR="00E359C1" w:rsidRPr="00BF790C">
        <w:rPr>
          <w:rFonts w:ascii="Times New Roman" w:hAnsi="Times New Roman" w:cs="Times New Roman"/>
          <w:sz w:val="24"/>
          <w:szCs w:val="24"/>
        </w:rPr>
        <w:t>decompose</w:t>
      </w:r>
      <w:r w:rsidR="00BC1F89" w:rsidRPr="00BF790C">
        <w:rPr>
          <w:rFonts w:ascii="Times New Roman" w:hAnsi="Times New Roman" w:cs="Times New Roman"/>
          <w:sz w:val="24"/>
          <w:szCs w:val="24"/>
        </w:rPr>
        <w:t xml:space="preserve"> the explained component, the unexplained component, and the interaction term</w:t>
      </w:r>
      <w:r w:rsidR="00E359C1" w:rsidRPr="00BF790C">
        <w:rPr>
          <w:rFonts w:ascii="Times New Roman" w:hAnsi="Times New Roman" w:cs="Times New Roman"/>
          <w:sz w:val="24"/>
          <w:szCs w:val="24"/>
        </w:rPr>
        <w:t>s</w:t>
      </w:r>
      <w:r w:rsidR="00BC1F89" w:rsidRPr="00BF790C">
        <w:rPr>
          <w:rFonts w:ascii="Times New Roman" w:hAnsi="Times New Roman" w:cs="Times New Roman"/>
          <w:sz w:val="24"/>
          <w:szCs w:val="24"/>
        </w:rPr>
        <w:t xml:space="preserve"> into the share</w:t>
      </w:r>
      <w:r w:rsidR="00D63606" w:rsidRPr="00BF790C">
        <w:rPr>
          <w:rFonts w:ascii="Times New Roman" w:hAnsi="Times New Roman" w:cs="Times New Roman"/>
          <w:sz w:val="24"/>
          <w:szCs w:val="24"/>
        </w:rPr>
        <w:t>s</w:t>
      </w:r>
      <w:r w:rsidR="00BC1F89" w:rsidRPr="00BF790C">
        <w:rPr>
          <w:rFonts w:ascii="Times New Roman" w:hAnsi="Times New Roman" w:cs="Times New Roman"/>
          <w:sz w:val="24"/>
          <w:szCs w:val="24"/>
        </w:rPr>
        <w:t xml:space="preserve"> attributable to each variable included in the model</w:t>
      </w:r>
      <w:r w:rsidR="003D459A" w:rsidRPr="00BF790C">
        <w:rPr>
          <w:rFonts w:ascii="Times New Roman" w:hAnsi="Times New Roman" w:cs="Times New Roman"/>
          <w:sz w:val="24"/>
          <w:szCs w:val="24"/>
        </w:rPr>
        <w:t xml:space="preserve"> following the methodology detailed in Even and </w:t>
      </w:r>
      <w:proofErr w:type="spellStart"/>
      <w:r w:rsidR="003D459A" w:rsidRPr="00BF790C">
        <w:rPr>
          <w:rFonts w:ascii="Times New Roman" w:hAnsi="Times New Roman" w:cs="Times New Roman"/>
          <w:sz w:val="24"/>
          <w:szCs w:val="24"/>
        </w:rPr>
        <w:t>MacPherson</w:t>
      </w:r>
      <w:proofErr w:type="spellEnd"/>
      <w:r w:rsidR="002568BE" w:rsidRPr="00BF790C">
        <w:rPr>
          <w:rFonts w:ascii="Times New Roman" w:hAnsi="Times New Roman" w:cs="Times New Roman"/>
          <w:sz w:val="24"/>
          <w:szCs w:val="24"/>
        </w:rPr>
        <w:t xml:space="preserve"> (1990)</w:t>
      </w:r>
      <w:r w:rsidR="00D63606" w:rsidRPr="00BF790C">
        <w:rPr>
          <w:rFonts w:ascii="Times New Roman" w:hAnsi="Times New Roman" w:cs="Times New Roman"/>
          <w:sz w:val="24"/>
          <w:szCs w:val="24"/>
        </w:rPr>
        <w:t xml:space="preserve"> and </w:t>
      </w:r>
      <w:proofErr w:type="spellStart"/>
      <w:r w:rsidR="00D63606" w:rsidRPr="00BF790C">
        <w:rPr>
          <w:rFonts w:ascii="Times New Roman" w:hAnsi="Times New Roman" w:cs="Times New Roman"/>
          <w:sz w:val="24"/>
          <w:szCs w:val="24"/>
        </w:rPr>
        <w:t>Yun</w:t>
      </w:r>
      <w:proofErr w:type="spellEnd"/>
      <w:r w:rsidR="00D63606" w:rsidRPr="00BF790C">
        <w:rPr>
          <w:rFonts w:ascii="Times New Roman" w:hAnsi="Times New Roman" w:cs="Times New Roman"/>
          <w:sz w:val="24"/>
          <w:szCs w:val="24"/>
        </w:rPr>
        <w:t xml:space="preserve"> (200</w:t>
      </w:r>
      <w:r w:rsidR="008B719F" w:rsidRPr="00BF790C">
        <w:rPr>
          <w:rFonts w:ascii="Times New Roman" w:hAnsi="Times New Roman" w:cs="Times New Roman"/>
          <w:sz w:val="24"/>
          <w:szCs w:val="24"/>
        </w:rPr>
        <w:t>4</w:t>
      </w:r>
      <w:r w:rsidR="00D63606" w:rsidRPr="00BF790C">
        <w:rPr>
          <w:rFonts w:ascii="Times New Roman" w:hAnsi="Times New Roman" w:cs="Times New Roman"/>
          <w:sz w:val="24"/>
          <w:szCs w:val="24"/>
        </w:rPr>
        <w:t>)</w:t>
      </w:r>
      <w:r w:rsidR="00E359C1" w:rsidRPr="00BF790C">
        <w:rPr>
          <w:rStyle w:val="FootnoteReference"/>
          <w:rFonts w:ascii="Times New Roman" w:hAnsi="Times New Roman" w:cs="Times New Roman"/>
          <w:sz w:val="24"/>
          <w:szCs w:val="24"/>
        </w:rPr>
        <w:t xml:space="preserve"> </w:t>
      </w:r>
      <w:r w:rsidR="00E359C1" w:rsidRPr="00BF790C">
        <w:rPr>
          <w:rStyle w:val="FootnoteReference"/>
          <w:rFonts w:ascii="Times New Roman" w:hAnsi="Times New Roman" w:cs="Times New Roman"/>
          <w:sz w:val="24"/>
          <w:szCs w:val="24"/>
        </w:rPr>
        <w:footnoteReference w:id="13"/>
      </w:r>
      <w:r w:rsidR="00BC1F89" w:rsidRPr="00BF790C">
        <w:rPr>
          <w:rFonts w:ascii="Times New Roman" w:hAnsi="Times New Roman" w:cs="Times New Roman"/>
          <w:sz w:val="24"/>
          <w:szCs w:val="24"/>
        </w:rPr>
        <w:t xml:space="preserve">. This allows us to identify which characteristics were most influential in determining the drop in pension sponsorship rates over the time period. </w:t>
      </w:r>
    </w:p>
    <w:p w:rsidR="002568BE" w:rsidRPr="00BF790C" w:rsidRDefault="00340181"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Because Even and </w:t>
      </w:r>
      <w:proofErr w:type="spellStart"/>
      <w:r w:rsidRPr="00BF790C">
        <w:rPr>
          <w:rFonts w:ascii="Times New Roman" w:hAnsi="Times New Roman" w:cs="Times New Roman"/>
          <w:sz w:val="24"/>
          <w:szCs w:val="24"/>
        </w:rPr>
        <w:t>McPherson’s</w:t>
      </w:r>
      <w:proofErr w:type="spellEnd"/>
      <w:r w:rsidRPr="00BF790C">
        <w:rPr>
          <w:rFonts w:ascii="Times New Roman" w:hAnsi="Times New Roman" w:cs="Times New Roman"/>
          <w:sz w:val="24"/>
          <w:szCs w:val="24"/>
        </w:rPr>
        <w:t xml:space="preserve"> analysis predates the </w:t>
      </w:r>
      <w:proofErr w:type="spellStart"/>
      <w:r w:rsidRPr="00BF790C">
        <w:rPr>
          <w:rFonts w:ascii="Times New Roman" w:hAnsi="Times New Roman" w:cs="Times New Roman"/>
          <w:sz w:val="24"/>
          <w:szCs w:val="24"/>
        </w:rPr>
        <w:t>Yun</w:t>
      </w:r>
      <w:proofErr w:type="spellEnd"/>
      <w:r w:rsidRPr="00BF790C">
        <w:rPr>
          <w:rFonts w:ascii="Times New Roman" w:hAnsi="Times New Roman" w:cs="Times New Roman"/>
          <w:sz w:val="24"/>
          <w:szCs w:val="24"/>
        </w:rPr>
        <w:t xml:space="preserve"> method, they were only able to do a detailed analysis of changes in retirement account sponsorship over time due to changes in endowments</w:t>
      </w:r>
      <w:r w:rsidR="00E359C1" w:rsidRPr="00BF790C">
        <w:rPr>
          <w:rFonts w:ascii="Times New Roman" w:hAnsi="Times New Roman" w:cs="Times New Roman"/>
          <w:sz w:val="24"/>
          <w:szCs w:val="24"/>
        </w:rPr>
        <w:t xml:space="preserve"> (the explained component)</w:t>
      </w:r>
      <w:r w:rsidRPr="00BF790C">
        <w:rPr>
          <w:rFonts w:ascii="Times New Roman" w:hAnsi="Times New Roman" w:cs="Times New Roman"/>
          <w:sz w:val="24"/>
          <w:szCs w:val="24"/>
        </w:rPr>
        <w:t xml:space="preserve">. By </w:t>
      </w:r>
      <w:r w:rsidR="00201144" w:rsidRPr="00BF790C">
        <w:rPr>
          <w:rFonts w:ascii="Times New Roman" w:hAnsi="Times New Roman" w:cs="Times New Roman"/>
          <w:sz w:val="24"/>
          <w:szCs w:val="24"/>
        </w:rPr>
        <w:t>applying the newest econometric</w:t>
      </w:r>
      <w:r w:rsidRPr="00BF790C">
        <w:rPr>
          <w:rFonts w:ascii="Times New Roman" w:hAnsi="Times New Roman" w:cs="Times New Roman"/>
          <w:sz w:val="24"/>
          <w:szCs w:val="24"/>
        </w:rPr>
        <w:t xml:space="preserve"> </w:t>
      </w:r>
      <w:r w:rsidR="00A63530" w:rsidRPr="00BF790C">
        <w:rPr>
          <w:rFonts w:ascii="Times New Roman" w:hAnsi="Times New Roman" w:cs="Times New Roman"/>
          <w:sz w:val="24"/>
          <w:szCs w:val="24"/>
        </w:rPr>
        <w:t>advances in our work, our analysis sheds light on another set of variables that were significant in explaining changes in retirement account sponsorship.</w:t>
      </w:r>
      <w:r w:rsidRPr="00BF790C">
        <w:rPr>
          <w:rFonts w:ascii="Times New Roman" w:hAnsi="Times New Roman" w:cs="Times New Roman"/>
          <w:sz w:val="24"/>
          <w:szCs w:val="24"/>
        </w:rPr>
        <w:t xml:space="preserve">  </w:t>
      </w:r>
    </w:p>
    <w:p w:rsidR="00A21C85" w:rsidRPr="00BF790C" w:rsidRDefault="00A21C85" w:rsidP="001F00BE">
      <w:pPr>
        <w:spacing w:line="480" w:lineRule="auto"/>
        <w:rPr>
          <w:rFonts w:ascii="Times New Roman" w:hAnsi="Times New Roman" w:cs="Times New Roman"/>
          <w:sz w:val="24"/>
          <w:szCs w:val="24"/>
        </w:rPr>
      </w:pPr>
    </w:p>
    <w:p w:rsidR="004F489F" w:rsidRPr="00BF790C" w:rsidRDefault="00BE1A6B" w:rsidP="001F00BE">
      <w:pPr>
        <w:spacing w:line="480" w:lineRule="auto"/>
        <w:jc w:val="center"/>
        <w:rPr>
          <w:rFonts w:ascii="Times New Roman" w:hAnsi="Times New Roman" w:cs="Times New Roman"/>
          <w:b/>
          <w:sz w:val="24"/>
          <w:szCs w:val="24"/>
        </w:rPr>
      </w:pPr>
      <w:r w:rsidRPr="00BF790C">
        <w:rPr>
          <w:rFonts w:ascii="Times New Roman" w:hAnsi="Times New Roman" w:cs="Times New Roman"/>
          <w:b/>
          <w:sz w:val="24"/>
          <w:szCs w:val="24"/>
        </w:rPr>
        <w:t>THE DATA</w:t>
      </w:r>
    </w:p>
    <w:p w:rsidR="00385387" w:rsidRDefault="00E839AE"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Factor</w:t>
      </w:r>
      <w:r w:rsidR="00D25D08" w:rsidRPr="00BF790C">
        <w:rPr>
          <w:rFonts w:ascii="Times New Roman" w:hAnsi="Times New Roman" w:cs="Times New Roman"/>
          <w:sz w:val="24"/>
          <w:szCs w:val="24"/>
        </w:rPr>
        <w:t xml:space="preserve">s that directly </w:t>
      </w:r>
      <w:r w:rsidR="00B4378A" w:rsidRPr="00BF790C">
        <w:rPr>
          <w:rFonts w:ascii="Times New Roman" w:hAnsi="Times New Roman" w:cs="Times New Roman"/>
          <w:sz w:val="24"/>
          <w:szCs w:val="24"/>
        </w:rPr>
        <w:t xml:space="preserve">encourage </w:t>
      </w:r>
      <w:r w:rsidR="00D25D08" w:rsidRPr="00BF790C">
        <w:rPr>
          <w:rFonts w:ascii="Times New Roman" w:hAnsi="Times New Roman" w:cs="Times New Roman"/>
          <w:sz w:val="24"/>
          <w:szCs w:val="24"/>
        </w:rPr>
        <w:t>employer</w:t>
      </w:r>
      <w:r w:rsidRPr="00BF790C">
        <w:rPr>
          <w:rFonts w:ascii="Times New Roman" w:hAnsi="Times New Roman" w:cs="Times New Roman"/>
          <w:sz w:val="24"/>
          <w:szCs w:val="24"/>
        </w:rPr>
        <w:t xml:space="preserve"> sponsorship of a retirement account have </w:t>
      </w:r>
      <w:r w:rsidR="00B4378A" w:rsidRPr="00BF790C">
        <w:rPr>
          <w:rFonts w:ascii="Times New Roman" w:hAnsi="Times New Roman" w:cs="Times New Roman"/>
          <w:sz w:val="24"/>
          <w:szCs w:val="24"/>
        </w:rPr>
        <w:t xml:space="preserve">diminished </w:t>
      </w:r>
      <w:r w:rsidRPr="00BF790C">
        <w:rPr>
          <w:rFonts w:ascii="Times New Roman" w:hAnsi="Times New Roman" w:cs="Times New Roman"/>
          <w:sz w:val="24"/>
          <w:szCs w:val="24"/>
        </w:rPr>
        <w:t>dramat</w:t>
      </w:r>
      <w:r w:rsidR="00385387">
        <w:rPr>
          <w:rFonts w:ascii="Times New Roman" w:hAnsi="Times New Roman" w:cs="Times New Roman"/>
          <w:sz w:val="24"/>
          <w:szCs w:val="24"/>
        </w:rPr>
        <w:t>ically over the last ten years.</w:t>
      </w:r>
      <w:r w:rsidRPr="00BF790C">
        <w:rPr>
          <w:rFonts w:ascii="Times New Roman" w:hAnsi="Times New Roman" w:cs="Times New Roman"/>
          <w:sz w:val="24"/>
          <w:szCs w:val="24"/>
        </w:rPr>
        <w:t xml:space="preserve"> </w:t>
      </w:r>
    </w:p>
    <w:p w:rsidR="00385387" w:rsidRDefault="00385387" w:rsidP="001F00BE">
      <w:pPr>
        <w:spacing w:line="480" w:lineRule="auto"/>
        <w:rPr>
          <w:rFonts w:ascii="Times New Roman" w:hAnsi="Times New Roman" w:cs="Times New Roman"/>
          <w:sz w:val="24"/>
          <w:szCs w:val="24"/>
        </w:rPr>
      </w:pPr>
      <w:r>
        <w:rPr>
          <w:rFonts w:ascii="Times New Roman" w:hAnsi="Times New Roman" w:cs="Times New Roman"/>
          <w:sz w:val="24"/>
          <w:szCs w:val="24"/>
        </w:rPr>
        <w:t>[Table 2 about here]</w:t>
      </w:r>
    </w:p>
    <w:p w:rsidR="009C60FB" w:rsidRPr="00BF790C" w:rsidRDefault="00E839AE"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The national </w:t>
      </w:r>
      <w:r w:rsidR="00062E6D" w:rsidRPr="00BF790C">
        <w:rPr>
          <w:rFonts w:ascii="Times New Roman" w:hAnsi="Times New Roman" w:cs="Times New Roman"/>
          <w:sz w:val="24"/>
          <w:szCs w:val="24"/>
        </w:rPr>
        <w:t xml:space="preserve">population became older, with the fraction </w:t>
      </w:r>
      <w:r w:rsidR="00A21C85" w:rsidRPr="00BF790C">
        <w:rPr>
          <w:rFonts w:ascii="Times New Roman" w:hAnsi="Times New Roman" w:cs="Times New Roman"/>
          <w:sz w:val="24"/>
          <w:szCs w:val="24"/>
        </w:rPr>
        <w:t>of the population in the</w:t>
      </w:r>
      <w:r w:rsidR="00062E6D" w:rsidRPr="00BF790C">
        <w:rPr>
          <w:rFonts w:ascii="Times New Roman" w:hAnsi="Times New Roman" w:cs="Times New Roman"/>
          <w:sz w:val="24"/>
          <w:szCs w:val="24"/>
        </w:rPr>
        <w:t xml:space="preserve"> 25-44 age </w:t>
      </w:r>
      <w:proofErr w:type="gramStart"/>
      <w:r w:rsidR="00062E6D" w:rsidRPr="00BF790C">
        <w:rPr>
          <w:rFonts w:ascii="Times New Roman" w:hAnsi="Times New Roman" w:cs="Times New Roman"/>
          <w:sz w:val="24"/>
          <w:szCs w:val="24"/>
        </w:rPr>
        <w:t>category</w:t>
      </w:r>
      <w:proofErr w:type="gramEnd"/>
      <w:r w:rsidR="00221A91" w:rsidRPr="00BF790C">
        <w:rPr>
          <w:rFonts w:ascii="Times New Roman" w:hAnsi="Times New Roman" w:cs="Times New Roman"/>
          <w:sz w:val="24"/>
          <w:szCs w:val="24"/>
        </w:rPr>
        <w:t xml:space="preserve"> </w:t>
      </w:r>
      <w:r w:rsidR="005D4010" w:rsidRPr="00BF790C">
        <w:rPr>
          <w:rFonts w:ascii="Times New Roman" w:hAnsi="Times New Roman" w:cs="Times New Roman"/>
          <w:sz w:val="24"/>
          <w:szCs w:val="24"/>
        </w:rPr>
        <w:t>dropping by 7</w:t>
      </w:r>
      <w:r w:rsidR="00062E6D" w:rsidRPr="00BF790C">
        <w:rPr>
          <w:rFonts w:ascii="Times New Roman" w:hAnsi="Times New Roman" w:cs="Times New Roman"/>
          <w:sz w:val="24"/>
          <w:szCs w:val="24"/>
        </w:rPr>
        <w:t xml:space="preserve"> percentage points, while the fraction of the population in</w:t>
      </w:r>
      <w:r w:rsidR="005D4010" w:rsidRPr="00BF790C">
        <w:rPr>
          <w:rFonts w:ascii="Times New Roman" w:hAnsi="Times New Roman" w:cs="Times New Roman"/>
          <w:sz w:val="24"/>
          <w:szCs w:val="24"/>
        </w:rPr>
        <w:t xml:space="preserve"> the 45-54 age group grew by 1</w:t>
      </w:r>
      <w:r w:rsidR="00062E6D" w:rsidRPr="00BF790C">
        <w:rPr>
          <w:rFonts w:ascii="Times New Roman" w:hAnsi="Times New Roman" w:cs="Times New Roman"/>
          <w:sz w:val="24"/>
          <w:szCs w:val="24"/>
        </w:rPr>
        <w:t xml:space="preserve"> percentage points and the fraction in the 55-64 age group incr</w:t>
      </w:r>
      <w:r w:rsidR="005D4010" w:rsidRPr="00BF790C">
        <w:rPr>
          <w:rFonts w:ascii="Times New Roman" w:hAnsi="Times New Roman" w:cs="Times New Roman"/>
          <w:sz w:val="24"/>
          <w:szCs w:val="24"/>
        </w:rPr>
        <w:t>eased by 6</w:t>
      </w:r>
      <w:r w:rsidR="00062E6D" w:rsidRPr="00BF790C">
        <w:rPr>
          <w:rFonts w:ascii="Times New Roman" w:hAnsi="Times New Roman" w:cs="Times New Roman"/>
          <w:sz w:val="24"/>
          <w:szCs w:val="24"/>
        </w:rPr>
        <w:t xml:space="preserve"> percentage points. </w:t>
      </w:r>
    </w:p>
    <w:p w:rsidR="00A21C85" w:rsidRPr="00BF790C" w:rsidRDefault="00062E6D"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The population also became</w:t>
      </w:r>
      <w:r w:rsidR="005152BD" w:rsidRPr="00BF790C">
        <w:rPr>
          <w:rFonts w:ascii="Times New Roman" w:hAnsi="Times New Roman" w:cs="Times New Roman"/>
          <w:sz w:val="24"/>
          <w:szCs w:val="24"/>
        </w:rPr>
        <w:t xml:space="preserve"> better educated</w:t>
      </w:r>
      <w:r w:rsidR="005D4010" w:rsidRPr="00BF790C">
        <w:rPr>
          <w:rFonts w:ascii="Times New Roman" w:hAnsi="Times New Roman" w:cs="Times New Roman"/>
          <w:sz w:val="24"/>
          <w:szCs w:val="24"/>
        </w:rPr>
        <w:t>, with a 7</w:t>
      </w:r>
      <w:r w:rsidRPr="00BF790C">
        <w:rPr>
          <w:rFonts w:ascii="Times New Roman" w:hAnsi="Times New Roman" w:cs="Times New Roman"/>
          <w:sz w:val="24"/>
          <w:szCs w:val="24"/>
        </w:rPr>
        <w:t xml:space="preserve"> percentage point decrease in the fraction of people who have a high </w:t>
      </w:r>
      <w:r w:rsidR="00386837" w:rsidRPr="00BF790C">
        <w:rPr>
          <w:rFonts w:ascii="Times New Roman" w:hAnsi="Times New Roman" w:cs="Times New Roman"/>
          <w:sz w:val="24"/>
          <w:szCs w:val="24"/>
        </w:rPr>
        <w:t>school degree or less, and a 5</w:t>
      </w:r>
      <w:r w:rsidRPr="00BF790C">
        <w:rPr>
          <w:rFonts w:ascii="Times New Roman" w:hAnsi="Times New Roman" w:cs="Times New Roman"/>
          <w:sz w:val="24"/>
          <w:szCs w:val="24"/>
        </w:rPr>
        <w:t xml:space="preserve"> percentage point increase in the fraction with a college degree or better. Both of these changes sh</w:t>
      </w:r>
      <w:r w:rsidR="00E839AE" w:rsidRPr="00BF790C">
        <w:rPr>
          <w:rFonts w:ascii="Times New Roman" w:hAnsi="Times New Roman" w:cs="Times New Roman"/>
          <w:sz w:val="24"/>
          <w:szCs w:val="24"/>
        </w:rPr>
        <w:t>ould lead to m</w:t>
      </w:r>
      <w:r w:rsidR="00386837" w:rsidRPr="00BF790C">
        <w:rPr>
          <w:rFonts w:ascii="Times New Roman" w:hAnsi="Times New Roman" w:cs="Times New Roman"/>
          <w:sz w:val="24"/>
          <w:szCs w:val="24"/>
        </w:rPr>
        <w:t>ore retirement account coverage; o</w:t>
      </w:r>
      <w:r w:rsidR="00E839AE" w:rsidRPr="00BF790C">
        <w:rPr>
          <w:rFonts w:ascii="Times New Roman" w:hAnsi="Times New Roman" w:cs="Times New Roman"/>
          <w:sz w:val="24"/>
          <w:szCs w:val="24"/>
        </w:rPr>
        <w:t xml:space="preserve">lder </w:t>
      </w:r>
      <w:r w:rsidR="0096364A" w:rsidRPr="00BF790C">
        <w:rPr>
          <w:rFonts w:ascii="Times New Roman" w:hAnsi="Times New Roman" w:cs="Times New Roman"/>
          <w:sz w:val="24"/>
          <w:szCs w:val="24"/>
        </w:rPr>
        <w:t>work</w:t>
      </w:r>
      <w:r w:rsidR="00E839AE" w:rsidRPr="00BF790C">
        <w:rPr>
          <w:rFonts w:ascii="Times New Roman" w:hAnsi="Times New Roman" w:cs="Times New Roman"/>
          <w:sz w:val="24"/>
          <w:szCs w:val="24"/>
        </w:rPr>
        <w:t xml:space="preserve">ers are more likely to </w:t>
      </w:r>
      <w:r w:rsidR="0096364A" w:rsidRPr="00BF790C">
        <w:rPr>
          <w:rFonts w:ascii="Times New Roman" w:hAnsi="Times New Roman" w:cs="Times New Roman"/>
          <w:sz w:val="24"/>
          <w:szCs w:val="24"/>
        </w:rPr>
        <w:t xml:space="preserve">demand </w:t>
      </w:r>
      <w:r w:rsidR="00E839AE" w:rsidRPr="00BF790C">
        <w:rPr>
          <w:rFonts w:ascii="Times New Roman" w:hAnsi="Times New Roman" w:cs="Times New Roman"/>
          <w:sz w:val="24"/>
          <w:szCs w:val="24"/>
        </w:rPr>
        <w:t xml:space="preserve">retirement accounts because they are closer to retirement and higher </w:t>
      </w:r>
      <w:r w:rsidR="0096364A" w:rsidRPr="00BF790C">
        <w:rPr>
          <w:rFonts w:ascii="Times New Roman" w:hAnsi="Times New Roman" w:cs="Times New Roman"/>
          <w:sz w:val="24"/>
          <w:szCs w:val="24"/>
        </w:rPr>
        <w:t xml:space="preserve">education levels </w:t>
      </w:r>
      <w:r w:rsidR="00386837" w:rsidRPr="00BF790C">
        <w:rPr>
          <w:rFonts w:ascii="Times New Roman" w:hAnsi="Times New Roman" w:cs="Times New Roman"/>
          <w:sz w:val="24"/>
          <w:szCs w:val="24"/>
        </w:rPr>
        <w:t>lead</w:t>
      </w:r>
      <w:r w:rsidR="00E839AE" w:rsidRPr="00BF790C">
        <w:rPr>
          <w:rFonts w:ascii="Times New Roman" w:hAnsi="Times New Roman" w:cs="Times New Roman"/>
          <w:sz w:val="24"/>
          <w:szCs w:val="24"/>
        </w:rPr>
        <w:t xml:space="preserve"> to </w:t>
      </w:r>
      <w:r w:rsidR="0096364A" w:rsidRPr="00BF790C">
        <w:rPr>
          <w:rFonts w:ascii="Times New Roman" w:hAnsi="Times New Roman" w:cs="Times New Roman"/>
          <w:sz w:val="24"/>
          <w:szCs w:val="24"/>
        </w:rPr>
        <w:t>higher incomes</w:t>
      </w:r>
      <w:r w:rsidR="00E839AE" w:rsidRPr="00BF790C">
        <w:rPr>
          <w:rFonts w:ascii="Times New Roman" w:hAnsi="Times New Roman" w:cs="Times New Roman"/>
          <w:sz w:val="24"/>
          <w:szCs w:val="24"/>
        </w:rPr>
        <w:t xml:space="preserve"> and higher incomes makes </w:t>
      </w:r>
      <w:r w:rsidR="0096364A" w:rsidRPr="00BF790C">
        <w:rPr>
          <w:rFonts w:ascii="Times New Roman" w:hAnsi="Times New Roman" w:cs="Times New Roman"/>
          <w:sz w:val="24"/>
          <w:szCs w:val="24"/>
        </w:rPr>
        <w:t xml:space="preserve">the tax deduction for </w:t>
      </w:r>
      <w:r w:rsidR="00E839AE" w:rsidRPr="00BF790C">
        <w:rPr>
          <w:rFonts w:ascii="Times New Roman" w:hAnsi="Times New Roman" w:cs="Times New Roman"/>
          <w:sz w:val="24"/>
          <w:szCs w:val="24"/>
        </w:rPr>
        <w:t xml:space="preserve">retirement </w:t>
      </w:r>
      <w:r w:rsidR="0096364A" w:rsidRPr="00BF790C">
        <w:rPr>
          <w:rFonts w:ascii="Times New Roman" w:hAnsi="Times New Roman" w:cs="Times New Roman"/>
          <w:sz w:val="24"/>
          <w:szCs w:val="24"/>
        </w:rPr>
        <w:t xml:space="preserve">saving worth more. </w:t>
      </w:r>
    </w:p>
    <w:p w:rsidR="002F4327" w:rsidRPr="00BF790C" w:rsidRDefault="00E839AE"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The share of the workforce employed in the </w:t>
      </w:r>
      <w:r w:rsidR="002F4327" w:rsidRPr="00BF790C">
        <w:rPr>
          <w:rFonts w:ascii="Times New Roman" w:hAnsi="Times New Roman" w:cs="Times New Roman"/>
          <w:sz w:val="24"/>
          <w:szCs w:val="24"/>
        </w:rPr>
        <w:t>education</w:t>
      </w:r>
      <w:r w:rsidR="005D4010" w:rsidRPr="00BF790C">
        <w:rPr>
          <w:rFonts w:ascii="Times New Roman" w:hAnsi="Times New Roman" w:cs="Times New Roman"/>
          <w:sz w:val="24"/>
          <w:szCs w:val="24"/>
        </w:rPr>
        <w:t xml:space="preserve"> (+1</w:t>
      </w:r>
      <w:r w:rsidR="00062E6D"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percentage points</w:t>
      </w:r>
      <w:r w:rsidR="00062E6D" w:rsidRPr="00BF790C">
        <w:rPr>
          <w:rFonts w:ascii="Times New Roman" w:hAnsi="Times New Roman" w:cs="Times New Roman"/>
          <w:sz w:val="24"/>
          <w:szCs w:val="24"/>
        </w:rPr>
        <w:t>)</w:t>
      </w:r>
      <w:r w:rsidR="002F4327" w:rsidRPr="00BF790C">
        <w:rPr>
          <w:rFonts w:ascii="Times New Roman" w:hAnsi="Times New Roman" w:cs="Times New Roman"/>
          <w:sz w:val="24"/>
          <w:szCs w:val="24"/>
        </w:rPr>
        <w:t>, health care</w:t>
      </w:r>
      <w:r w:rsidR="005D4010" w:rsidRPr="00BF790C">
        <w:rPr>
          <w:rFonts w:ascii="Times New Roman" w:hAnsi="Times New Roman" w:cs="Times New Roman"/>
          <w:sz w:val="24"/>
          <w:szCs w:val="24"/>
        </w:rPr>
        <w:t xml:space="preserve"> (+2</w:t>
      </w:r>
      <w:r w:rsidR="00062E6D"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percentage points</w:t>
      </w:r>
      <w:r w:rsidR="00062E6D" w:rsidRPr="00BF790C">
        <w:rPr>
          <w:rFonts w:ascii="Times New Roman" w:hAnsi="Times New Roman" w:cs="Times New Roman"/>
          <w:sz w:val="24"/>
          <w:szCs w:val="24"/>
        </w:rPr>
        <w:t xml:space="preserve">) </w:t>
      </w:r>
      <w:r w:rsidR="002F4327" w:rsidRPr="00BF790C">
        <w:rPr>
          <w:rFonts w:ascii="Times New Roman" w:hAnsi="Times New Roman" w:cs="Times New Roman"/>
          <w:sz w:val="24"/>
          <w:szCs w:val="24"/>
        </w:rPr>
        <w:t>and professional services</w:t>
      </w:r>
      <w:r w:rsidR="005D4010" w:rsidRPr="00BF790C">
        <w:rPr>
          <w:rFonts w:ascii="Times New Roman" w:hAnsi="Times New Roman" w:cs="Times New Roman"/>
          <w:sz w:val="24"/>
          <w:szCs w:val="24"/>
        </w:rPr>
        <w:t xml:space="preserve"> (+3</w:t>
      </w:r>
      <w:r w:rsidR="00062E6D"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percentage points</w:t>
      </w:r>
      <w:r w:rsidR="00062E6D" w:rsidRPr="00BF790C">
        <w:rPr>
          <w:rFonts w:ascii="Times New Roman" w:hAnsi="Times New Roman" w:cs="Times New Roman"/>
          <w:sz w:val="24"/>
          <w:szCs w:val="24"/>
        </w:rPr>
        <w:t>)</w:t>
      </w:r>
      <w:r w:rsidR="002F4327" w:rsidRPr="00BF790C">
        <w:rPr>
          <w:rFonts w:ascii="Times New Roman" w:hAnsi="Times New Roman" w:cs="Times New Roman"/>
          <w:sz w:val="24"/>
          <w:szCs w:val="24"/>
        </w:rPr>
        <w:t xml:space="preserve"> </w:t>
      </w:r>
      <w:r w:rsidRPr="00BF790C">
        <w:rPr>
          <w:rFonts w:ascii="Times New Roman" w:hAnsi="Times New Roman" w:cs="Times New Roman"/>
          <w:sz w:val="24"/>
          <w:szCs w:val="24"/>
        </w:rPr>
        <w:t>sector</w:t>
      </w:r>
      <w:r w:rsidR="003C412A" w:rsidRPr="00BF790C">
        <w:rPr>
          <w:rFonts w:ascii="Times New Roman" w:hAnsi="Times New Roman" w:cs="Times New Roman"/>
          <w:sz w:val="24"/>
          <w:szCs w:val="24"/>
        </w:rPr>
        <w:t>s</w:t>
      </w:r>
      <w:r w:rsidRPr="00BF790C">
        <w:rPr>
          <w:rFonts w:ascii="Times New Roman" w:hAnsi="Times New Roman" w:cs="Times New Roman"/>
          <w:sz w:val="24"/>
          <w:szCs w:val="24"/>
        </w:rPr>
        <w:t xml:space="preserve"> </w:t>
      </w:r>
      <w:r w:rsidR="002F4327" w:rsidRPr="00BF790C">
        <w:rPr>
          <w:rFonts w:ascii="Times New Roman" w:hAnsi="Times New Roman" w:cs="Times New Roman"/>
          <w:sz w:val="24"/>
          <w:szCs w:val="24"/>
        </w:rPr>
        <w:t xml:space="preserve">expanded and these industries </w:t>
      </w:r>
      <w:r w:rsidR="00062E6D" w:rsidRPr="00BF790C">
        <w:rPr>
          <w:rFonts w:ascii="Times New Roman" w:hAnsi="Times New Roman" w:cs="Times New Roman"/>
          <w:sz w:val="24"/>
          <w:szCs w:val="24"/>
        </w:rPr>
        <w:t xml:space="preserve">have </w:t>
      </w:r>
      <w:r w:rsidR="002F4327" w:rsidRPr="00BF790C">
        <w:rPr>
          <w:rFonts w:ascii="Times New Roman" w:hAnsi="Times New Roman" w:cs="Times New Roman"/>
          <w:sz w:val="24"/>
          <w:szCs w:val="24"/>
        </w:rPr>
        <w:t>relatively high rates of employer retirement account coverage</w:t>
      </w:r>
      <w:r w:rsidRPr="00BF790C">
        <w:rPr>
          <w:rFonts w:ascii="Times New Roman" w:hAnsi="Times New Roman" w:cs="Times New Roman"/>
          <w:sz w:val="24"/>
          <w:szCs w:val="24"/>
        </w:rPr>
        <w:t>. C</w:t>
      </w:r>
      <w:r w:rsidR="002F4327" w:rsidRPr="00BF790C">
        <w:rPr>
          <w:rFonts w:ascii="Times New Roman" w:hAnsi="Times New Roman" w:cs="Times New Roman"/>
          <w:i/>
          <w:sz w:val="24"/>
          <w:szCs w:val="24"/>
        </w:rPr>
        <w:t>eteris paribus</w:t>
      </w:r>
      <w:r w:rsidR="00201144" w:rsidRPr="00BF790C">
        <w:rPr>
          <w:rFonts w:ascii="Times New Roman" w:hAnsi="Times New Roman" w:cs="Times New Roman"/>
          <w:i/>
          <w:sz w:val="24"/>
          <w:szCs w:val="24"/>
        </w:rPr>
        <w:t>,</w:t>
      </w:r>
      <w:r w:rsidRPr="00BF790C">
        <w:rPr>
          <w:rFonts w:ascii="Times New Roman" w:hAnsi="Times New Roman" w:cs="Times New Roman"/>
          <w:i/>
          <w:sz w:val="24"/>
          <w:szCs w:val="24"/>
        </w:rPr>
        <w:t xml:space="preserve"> </w:t>
      </w:r>
      <w:r w:rsidRPr="00BF790C">
        <w:rPr>
          <w:rFonts w:ascii="Times New Roman" w:hAnsi="Times New Roman" w:cs="Times New Roman"/>
          <w:sz w:val="24"/>
          <w:szCs w:val="24"/>
        </w:rPr>
        <w:t>these</w:t>
      </w:r>
      <w:r w:rsidRPr="00BF790C">
        <w:rPr>
          <w:rFonts w:ascii="Times New Roman" w:hAnsi="Times New Roman" w:cs="Times New Roman"/>
          <w:i/>
          <w:sz w:val="24"/>
          <w:szCs w:val="24"/>
        </w:rPr>
        <w:t xml:space="preserve"> </w:t>
      </w:r>
      <w:r w:rsidR="002F4327" w:rsidRPr="00BF790C">
        <w:rPr>
          <w:rFonts w:ascii="Times New Roman" w:hAnsi="Times New Roman" w:cs="Times New Roman"/>
          <w:sz w:val="24"/>
          <w:szCs w:val="24"/>
        </w:rPr>
        <w:t>factors, in addition to the popularity of tax-favored and cheaper to administer DC plans should have increased the demand and supply for retirement accounts.</w:t>
      </w:r>
      <w:r w:rsidR="0057522E" w:rsidRPr="00BF790C">
        <w:rPr>
          <w:rFonts w:ascii="Times New Roman" w:hAnsi="Times New Roman" w:cs="Times New Roman"/>
          <w:sz w:val="24"/>
          <w:szCs w:val="24"/>
        </w:rPr>
        <w:t xml:space="preserve"> Moreover, fears about the long-term solvency of Social Security should have also increased pension coverage across the board.</w:t>
      </w:r>
    </w:p>
    <w:p w:rsidR="002F4327" w:rsidRPr="00BF790C" w:rsidRDefault="002F4327"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On the other hand, </w:t>
      </w:r>
      <w:r w:rsidR="009C60FB" w:rsidRPr="00BF790C">
        <w:rPr>
          <w:rFonts w:ascii="Times New Roman" w:hAnsi="Times New Roman" w:cs="Times New Roman"/>
          <w:sz w:val="24"/>
          <w:szCs w:val="24"/>
        </w:rPr>
        <w:t>many changes detract</w:t>
      </w:r>
      <w:r w:rsidR="00A21C85" w:rsidRPr="00BF790C">
        <w:rPr>
          <w:rFonts w:ascii="Times New Roman" w:hAnsi="Times New Roman" w:cs="Times New Roman"/>
          <w:sz w:val="24"/>
          <w:szCs w:val="24"/>
        </w:rPr>
        <w:t>ed</w:t>
      </w:r>
      <w:r w:rsidR="009C60FB" w:rsidRPr="00BF790C">
        <w:rPr>
          <w:rFonts w:ascii="Times New Roman" w:hAnsi="Times New Roman" w:cs="Times New Roman"/>
          <w:sz w:val="24"/>
          <w:szCs w:val="24"/>
        </w:rPr>
        <w:t xml:space="preserve"> from </w:t>
      </w:r>
      <w:r w:rsidR="00A21C85" w:rsidRPr="00BF790C">
        <w:rPr>
          <w:rFonts w:ascii="Times New Roman" w:hAnsi="Times New Roman" w:cs="Times New Roman"/>
          <w:sz w:val="24"/>
          <w:szCs w:val="24"/>
        </w:rPr>
        <w:t xml:space="preserve">retirement account </w:t>
      </w:r>
      <w:r w:rsidR="009C60FB" w:rsidRPr="00BF790C">
        <w:rPr>
          <w:rFonts w:ascii="Times New Roman" w:hAnsi="Times New Roman" w:cs="Times New Roman"/>
          <w:sz w:val="24"/>
          <w:szCs w:val="24"/>
        </w:rPr>
        <w:t xml:space="preserve">sponsorship -- </w:t>
      </w:r>
      <w:r w:rsidRPr="00BF790C">
        <w:rPr>
          <w:rFonts w:ascii="Times New Roman" w:hAnsi="Times New Roman" w:cs="Times New Roman"/>
          <w:sz w:val="24"/>
          <w:szCs w:val="24"/>
        </w:rPr>
        <w:t>the</w:t>
      </w:r>
      <w:r w:rsidR="005152BD" w:rsidRPr="00BF790C">
        <w:rPr>
          <w:rFonts w:ascii="Times New Roman" w:hAnsi="Times New Roman" w:cs="Times New Roman"/>
          <w:sz w:val="24"/>
          <w:szCs w:val="24"/>
        </w:rPr>
        <w:t xml:space="preserve"> </w:t>
      </w:r>
      <w:r w:rsidRPr="00BF790C">
        <w:rPr>
          <w:rFonts w:ascii="Times New Roman" w:hAnsi="Times New Roman" w:cs="Times New Roman"/>
          <w:sz w:val="24"/>
          <w:szCs w:val="24"/>
        </w:rPr>
        <w:t>population</w:t>
      </w:r>
      <w:r w:rsidR="005152BD"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 xml:space="preserve">is </w:t>
      </w:r>
      <w:r w:rsidR="005152BD" w:rsidRPr="00BF790C">
        <w:rPr>
          <w:rFonts w:ascii="Times New Roman" w:hAnsi="Times New Roman" w:cs="Times New Roman"/>
          <w:sz w:val="24"/>
          <w:szCs w:val="24"/>
        </w:rPr>
        <w:t>composed of more Hispanics</w:t>
      </w:r>
      <w:r w:rsidR="005D4010" w:rsidRPr="00BF790C">
        <w:rPr>
          <w:rFonts w:ascii="Times New Roman" w:hAnsi="Times New Roman" w:cs="Times New Roman"/>
          <w:sz w:val="24"/>
          <w:szCs w:val="24"/>
        </w:rPr>
        <w:t xml:space="preserve"> (+4</w:t>
      </w:r>
      <w:r w:rsidR="00221A91"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percentage points</w:t>
      </w:r>
      <w:r w:rsidR="00221A91" w:rsidRPr="00BF790C">
        <w:rPr>
          <w:rFonts w:ascii="Times New Roman" w:hAnsi="Times New Roman" w:cs="Times New Roman"/>
          <w:sz w:val="24"/>
          <w:szCs w:val="24"/>
        </w:rPr>
        <w:t>)</w:t>
      </w:r>
      <w:r w:rsidR="005152BD" w:rsidRPr="00BF790C">
        <w:rPr>
          <w:rFonts w:ascii="Times New Roman" w:hAnsi="Times New Roman" w:cs="Times New Roman"/>
          <w:sz w:val="24"/>
          <w:szCs w:val="24"/>
        </w:rPr>
        <w:t xml:space="preserve"> and Asian</w:t>
      </w:r>
      <w:r w:rsidR="00537105" w:rsidRPr="00BF790C">
        <w:rPr>
          <w:rFonts w:ascii="Times New Roman" w:hAnsi="Times New Roman" w:cs="Times New Roman"/>
          <w:sz w:val="24"/>
          <w:szCs w:val="24"/>
        </w:rPr>
        <w:t>s</w:t>
      </w:r>
      <w:r w:rsidR="005D4010" w:rsidRPr="00BF790C">
        <w:rPr>
          <w:rFonts w:ascii="Times New Roman" w:hAnsi="Times New Roman" w:cs="Times New Roman"/>
          <w:sz w:val="24"/>
          <w:szCs w:val="24"/>
        </w:rPr>
        <w:t xml:space="preserve"> (+1</w:t>
      </w:r>
      <w:r w:rsidR="00221A91"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percentage points</w:t>
      </w:r>
      <w:r w:rsidR="00221A91" w:rsidRPr="00BF790C">
        <w:rPr>
          <w:rFonts w:ascii="Times New Roman" w:hAnsi="Times New Roman" w:cs="Times New Roman"/>
          <w:sz w:val="24"/>
          <w:szCs w:val="24"/>
        </w:rPr>
        <w:t>)</w:t>
      </w:r>
      <w:r w:rsidR="00537105" w:rsidRPr="00BF790C">
        <w:rPr>
          <w:rFonts w:ascii="Times New Roman" w:hAnsi="Times New Roman" w:cs="Times New Roman"/>
          <w:sz w:val="24"/>
          <w:szCs w:val="24"/>
        </w:rPr>
        <w:t xml:space="preserve">, </w:t>
      </w:r>
      <w:r w:rsidR="00CA6FC5" w:rsidRPr="00BF790C">
        <w:rPr>
          <w:rFonts w:ascii="Times New Roman" w:hAnsi="Times New Roman" w:cs="Times New Roman"/>
          <w:sz w:val="24"/>
          <w:szCs w:val="24"/>
        </w:rPr>
        <w:t>more non-citiz</w:t>
      </w:r>
      <w:r w:rsidR="005152BD" w:rsidRPr="00BF790C">
        <w:rPr>
          <w:rFonts w:ascii="Times New Roman" w:hAnsi="Times New Roman" w:cs="Times New Roman"/>
          <w:sz w:val="24"/>
          <w:szCs w:val="24"/>
        </w:rPr>
        <w:t>ens</w:t>
      </w:r>
      <w:r w:rsidR="005D4010" w:rsidRPr="00BF790C">
        <w:rPr>
          <w:rFonts w:ascii="Times New Roman" w:hAnsi="Times New Roman" w:cs="Times New Roman"/>
          <w:sz w:val="24"/>
          <w:szCs w:val="24"/>
        </w:rPr>
        <w:t xml:space="preserve"> (+1</w:t>
      </w:r>
      <w:r w:rsidR="00221A91"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percentage points</w:t>
      </w:r>
      <w:r w:rsidR="00221A91" w:rsidRPr="00BF790C">
        <w:rPr>
          <w:rFonts w:ascii="Times New Roman" w:hAnsi="Times New Roman" w:cs="Times New Roman"/>
          <w:sz w:val="24"/>
          <w:szCs w:val="24"/>
        </w:rPr>
        <w:t>)</w:t>
      </w:r>
      <w:r w:rsidR="00537105" w:rsidRPr="00BF790C">
        <w:rPr>
          <w:rFonts w:ascii="Times New Roman" w:hAnsi="Times New Roman" w:cs="Times New Roman"/>
          <w:sz w:val="24"/>
          <w:szCs w:val="24"/>
        </w:rPr>
        <w:t xml:space="preserve"> and more single people</w:t>
      </w:r>
      <w:r w:rsidR="005D4010" w:rsidRPr="00BF790C">
        <w:rPr>
          <w:rFonts w:ascii="Times New Roman" w:hAnsi="Times New Roman" w:cs="Times New Roman"/>
          <w:sz w:val="24"/>
          <w:szCs w:val="24"/>
        </w:rPr>
        <w:t xml:space="preserve"> (+3</w:t>
      </w:r>
      <w:r w:rsidR="00221A91"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percentage points</w:t>
      </w:r>
      <w:r w:rsidR="00221A91" w:rsidRPr="00BF790C">
        <w:rPr>
          <w:rFonts w:ascii="Times New Roman" w:hAnsi="Times New Roman" w:cs="Times New Roman"/>
          <w:sz w:val="24"/>
          <w:szCs w:val="24"/>
        </w:rPr>
        <w:t>)</w:t>
      </w:r>
      <w:r w:rsidR="005152BD" w:rsidRPr="00BF790C">
        <w:rPr>
          <w:rFonts w:ascii="Times New Roman" w:hAnsi="Times New Roman" w:cs="Times New Roman"/>
          <w:sz w:val="24"/>
          <w:szCs w:val="24"/>
        </w:rPr>
        <w:t xml:space="preserve">. </w:t>
      </w:r>
      <w:r w:rsidRPr="00BF790C">
        <w:rPr>
          <w:rFonts w:ascii="Times New Roman" w:hAnsi="Times New Roman" w:cs="Times New Roman"/>
          <w:sz w:val="24"/>
          <w:szCs w:val="24"/>
        </w:rPr>
        <w:t>These demographic</w:t>
      </w:r>
      <w:r w:rsidR="00E839AE" w:rsidRPr="00BF790C">
        <w:rPr>
          <w:rFonts w:ascii="Times New Roman" w:hAnsi="Times New Roman" w:cs="Times New Roman"/>
          <w:sz w:val="24"/>
          <w:szCs w:val="24"/>
        </w:rPr>
        <w:t xml:space="preserve"> groups </w:t>
      </w:r>
      <w:r w:rsidRPr="00BF790C">
        <w:rPr>
          <w:rFonts w:ascii="Times New Roman" w:hAnsi="Times New Roman" w:cs="Times New Roman"/>
          <w:sz w:val="24"/>
          <w:szCs w:val="24"/>
        </w:rPr>
        <w:t xml:space="preserve">have historically had lower sponsorship rates. </w:t>
      </w:r>
      <w:r w:rsidR="0057522E" w:rsidRPr="00BF790C">
        <w:rPr>
          <w:rFonts w:ascii="Times New Roman" w:hAnsi="Times New Roman" w:cs="Times New Roman"/>
          <w:sz w:val="24"/>
          <w:szCs w:val="24"/>
        </w:rPr>
        <w:t>Employment in manufacturing</w:t>
      </w:r>
      <w:r w:rsidR="00221A91" w:rsidRPr="00BF790C">
        <w:rPr>
          <w:rFonts w:ascii="Times New Roman" w:hAnsi="Times New Roman" w:cs="Times New Roman"/>
          <w:sz w:val="24"/>
          <w:szCs w:val="24"/>
        </w:rPr>
        <w:t xml:space="preserve"> </w:t>
      </w:r>
      <w:r w:rsidR="0057522E" w:rsidRPr="00BF790C">
        <w:rPr>
          <w:rFonts w:ascii="Times New Roman" w:hAnsi="Times New Roman" w:cs="Times New Roman"/>
          <w:sz w:val="24"/>
          <w:szCs w:val="24"/>
        </w:rPr>
        <w:t>and in inf</w:t>
      </w:r>
      <w:r w:rsidR="005D4010" w:rsidRPr="00BF790C">
        <w:rPr>
          <w:rFonts w:ascii="Times New Roman" w:hAnsi="Times New Roman" w:cs="Times New Roman"/>
          <w:sz w:val="24"/>
          <w:szCs w:val="24"/>
        </w:rPr>
        <w:t xml:space="preserve">ormation services dropped by 3 </w:t>
      </w:r>
      <w:r w:rsidR="0057522E" w:rsidRPr="00BF790C">
        <w:rPr>
          <w:rFonts w:ascii="Times New Roman" w:hAnsi="Times New Roman" w:cs="Times New Roman"/>
          <w:sz w:val="24"/>
          <w:szCs w:val="24"/>
        </w:rPr>
        <w:t xml:space="preserve">percentage points </w:t>
      </w:r>
      <w:r w:rsidR="005D4010" w:rsidRPr="00BF790C">
        <w:rPr>
          <w:rFonts w:ascii="Times New Roman" w:hAnsi="Times New Roman" w:cs="Times New Roman"/>
          <w:sz w:val="24"/>
          <w:szCs w:val="24"/>
        </w:rPr>
        <w:t>each</w:t>
      </w:r>
      <w:r w:rsidR="0057522E" w:rsidRPr="00BF790C">
        <w:rPr>
          <w:rFonts w:ascii="Times New Roman" w:hAnsi="Times New Roman" w:cs="Times New Roman"/>
          <w:sz w:val="24"/>
          <w:szCs w:val="24"/>
        </w:rPr>
        <w:t xml:space="preserve"> – these are sectors with </w:t>
      </w:r>
      <w:r w:rsidR="00C8075C" w:rsidRPr="00BF790C">
        <w:rPr>
          <w:rFonts w:ascii="Times New Roman" w:hAnsi="Times New Roman" w:cs="Times New Roman"/>
          <w:sz w:val="24"/>
          <w:szCs w:val="24"/>
        </w:rPr>
        <w:t>high sponsorship rates</w:t>
      </w:r>
      <w:r w:rsidR="0057522E" w:rsidRPr="00BF790C">
        <w:rPr>
          <w:rFonts w:ascii="Times New Roman" w:hAnsi="Times New Roman" w:cs="Times New Roman"/>
          <w:sz w:val="24"/>
          <w:szCs w:val="24"/>
        </w:rPr>
        <w:t xml:space="preserve">. </w:t>
      </w:r>
      <w:r w:rsidR="005D4010" w:rsidRPr="00BF790C">
        <w:rPr>
          <w:rFonts w:ascii="Times New Roman" w:hAnsi="Times New Roman" w:cs="Times New Roman"/>
          <w:sz w:val="24"/>
          <w:szCs w:val="24"/>
        </w:rPr>
        <w:t>Also, more people worked part time (+3</w:t>
      </w:r>
      <w:r w:rsidR="00221A91"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percentage points</w:t>
      </w:r>
      <w:r w:rsidR="00221A91" w:rsidRPr="00BF790C">
        <w:rPr>
          <w:rFonts w:ascii="Times New Roman" w:hAnsi="Times New Roman" w:cs="Times New Roman"/>
          <w:sz w:val="24"/>
          <w:szCs w:val="24"/>
        </w:rPr>
        <w:t>)</w:t>
      </w:r>
      <w:r w:rsidR="005152BD" w:rsidRPr="00BF790C">
        <w:rPr>
          <w:rFonts w:ascii="Times New Roman" w:hAnsi="Times New Roman" w:cs="Times New Roman"/>
          <w:sz w:val="24"/>
          <w:szCs w:val="24"/>
        </w:rPr>
        <w:t xml:space="preserve">, </w:t>
      </w:r>
      <w:r w:rsidR="00537105" w:rsidRPr="00BF790C">
        <w:rPr>
          <w:rFonts w:ascii="Times New Roman" w:hAnsi="Times New Roman" w:cs="Times New Roman"/>
          <w:sz w:val="24"/>
          <w:szCs w:val="24"/>
        </w:rPr>
        <w:t xml:space="preserve">and the number of weeks unemployed </w:t>
      </w:r>
      <w:r w:rsidR="0096364A" w:rsidRPr="00BF790C">
        <w:rPr>
          <w:rFonts w:ascii="Times New Roman" w:hAnsi="Times New Roman" w:cs="Times New Roman"/>
          <w:sz w:val="24"/>
          <w:szCs w:val="24"/>
        </w:rPr>
        <w:t xml:space="preserve">was significantly larger in </w:t>
      </w:r>
      <w:r w:rsidR="00A21C85" w:rsidRPr="00BF790C">
        <w:rPr>
          <w:rFonts w:ascii="Times New Roman" w:hAnsi="Times New Roman" w:cs="Times New Roman"/>
          <w:sz w:val="24"/>
          <w:szCs w:val="24"/>
        </w:rPr>
        <w:t>2010-2012</w:t>
      </w:r>
      <w:r w:rsidR="00537105" w:rsidRPr="00BF790C">
        <w:rPr>
          <w:rFonts w:ascii="Times New Roman" w:hAnsi="Times New Roman" w:cs="Times New Roman"/>
          <w:sz w:val="24"/>
          <w:szCs w:val="24"/>
        </w:rPr>
        <w:t xml:space="preserve"> than in 2000</w:t>
      </w:r>
      <w:r w:rsidR="00A21C85" w:rsidRPr="00BF790C">
        <w:rPr>
          <w:rFonts w:ascii="Times New Roman" w:hAnsi="Times New Roman" w:cs="Times New Roman"/>
          <w:sz w:val="24"/>
          <w:szCs w:val="24"/>
        </w:rPr>
        <w:t>-2002</w:t>
      </w:r>
      <w:r w:rsidR="005D4010" w:rsidRPr="00BF790C">
        <w:rPr>
          <w:rFonts w:ascii="Times New Roman" w:hAnsi="Times New Roman" w:cs="Times New Roman"/>
          <w:sz w:val="24"/>
          <w:szCs w:val="24"/>
        </w:rPr>
        <w:t xml:space="preserve"> (+1.24</w:t>
      </w:r>
      <w:r w:rsidR="00221A91" w:rsidRPr="00BF790C">
        <w:rPr>
          <w:rFonts w:ascii="Times New Roman" w:hAnsi="Times New Roman" w:cs="Times New Roman"/>
          <w:sz w:val="24"/>
          <w:szCs w:val="24"/>
        </w:rPr>
        <w:t xml:space="preserve"> w</w:t>
      </w:r>
      <w:r w:rsidR="009C60FB" w:rsidRPr="00BF790C">
        <w:rPr>
          <w:rFonts w:ascii="Times New Roman" w:hAnsi="Times New Roman" w:cs="Times New Roman"/>
          <w:sz w:val="24"/>
          <w:szCs w:val="24"/>
        </w:rPr>
        <w:t>ee</w:t>
      </w:r>
      <w:r w:rsidR="00221A91" w:rsidRPr="00BF790C">
        <w:rPr>
          <w:rFonts w:ascii="Times New Roman" w:hAnsi="Times New Roman" w:cs="Times New Roman"/>
          <w:sz w:val="24"/>
          <w:szCs w:val="24"/>
        </w:rPr>
        <w:t>ks)</w:t>
      </w:r>
      <w:r w:rsidR="00537105" w:rsidRPr="00BF790C">
        <w:rPr>
          <w:rFonts w:ascii="Times New Roman" w:hAnsi="Times New Roman" w:cs="Times New Roman"/>
          <w:sz w:val="24"/>
          <w:szCs w:val="24"/>
        </w:rPr>
        <w:t xml:space="preserve">. </w:t>
      </w:r>
      <w:r w:rsidRPr="00BF790C">
        <w:rPr>
          <w:rFonts w:ascii="Times New Roman" w:hAnsi="Times New Roman" w:cs="Times New Roman"/>
          <w:sz w:val="24"/>
          <w:szCs w:val="24"/>
        </w:rPr>
        <w:t xml:space="preserve">Again, these changes would predict a drop in sponsorship rates. </w:t>
      </w:r>
    </w:p>
    <w:p w:rsidR="000E59DA" w:rsidRPr="00BF790C" w:rsidRDefault="009C60FB"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Importantly, the </w:t>
      </w:r>
      <w:r w:rsidR="000E59DA" w:rsidRPr="00BF790C">
        <w:rPr>
          <w:rFonts w:ascii="Times New Roman" w:hAnsi="Times New Roman" w:cs="Times New Roman"/>
          <w:sz w:val="24"/>
          <w:szCs w:val="24"/>
        </w:rPr>
        <w:t>fraction of people working in small firms grew</w:t>
      </w:r>
      <w:r w:rsidR="005D4010" w:rsidRPr="00BF790C">
        <w:rPr>
          <w:rFonts w:ascii="Times New Roman" w:hAnsi="Times New Roman" w:cs="Times New Roman"/>
          <w:sz w:val="24"/>
          <w:szCs w:val="24"/>
        </w:rPr>
        <w:t xml:space="preserve"> by 5</w:t>
      </w:r>
      <w:r w:rsidR="00221A91" w:rsidRPr="00BF790C">
        <w:rPr>
          <w:rFonts w:ascii="Times New Roman" w:hAnsi="Times New Roman" w:cs="Times New Roman"/>
          <w:sz w:val="24"/>
          <w:szCs w:val="24"/>
        </w:rPr>
        <w:t xml:space="preserve"> percentage points</w:t>
      </w:r>
      <w:r w:rsidR="000E59DA" w:rsidRPr="00BF790C">
        <w:rPr>
          <w:rFonts w:ascii="Times New Roman" w:hAnsi="Times New Roman" w:cs="Times New Roman"/>
          <w:sz w:val="24"/>
          <w:szCs w:val="24"/>
        </w:rPr>
        <w:t xml:space="preserve"> and as Even </w:t>
      </w:r>
      <w:r w:rsidR="00BD10D0">
        <w:rPr>
          <w:rFonts w:ascii="Times New Roman" w:hAnsi="Times New Roman" w:cs="Times New Roman"/>
          <w:sz w:val="24"/>
          <w:szCs w:val="24"/>
        </w:rPr>
        <w:t>et al.</w:t>
      </w:r>
      <w:r w:rsidR="000E59DA" w:rsidRPr="00BF790C">
        <w:rPr>
          <w:rFonts w:ascii="Times New Roman" w:hAnsi="Times New Roman" w:cs="Times New Roman"/>
          <w:sz w:val="24"/>
          <w:szCs w:val="24"/>
        </w:rPr>
        <w:t xml:space="preserve"> </w:t>
      </w:r>
      <w:r w:rsidRPr="00BF790C">
        <w:rPr>
          <w:rFonts w:ascii="Times New Roman" w:hAnsi="Times New Roman" w:cs="Times New Roman"/>
          <w:sz w:val="24"/>
          <w:szCs w:val="24"/>
        </w:rPr>
        <w:t xml:space="preserve">(2008) </w:t>
      </w:r>
      <w:r w:rsidR="000E59DA" w:rsidRPr="00BF790C">
        <w:rPr>
          <w:rFonts w:ascii="Times New Roman" w:hAnsi="Times New Roman" w:cs="Times New Roman"/>
          <w:sz w:val="24"/>
          <w:szCs w:val="24"/>
        </w:rPr>
        <w:t>concluded</w:t>
      </w:r>
      <w:r w:rsidR="00A21C85" w:rsidRPr="00BF790C">
        <w:rPr>
          <w:rFonts w:ascii="Times New Roman" w:hAnsi="Times New Roman" w:cs="Times New Roman"/>
          <w:sz w:val="24"/>
          <w:szCs w:val="24"/>
        </w:rPr>
        <w:t>,</w:t>
      </w:r>
      <w:r w:rsidR="000E59DA" w:rsidRPr="00BF790C">
        <w:rPr>
          <w:rFonts w:ascii="Times New Roman" w:hAnsi="Times New Roman" w:cs="Times New Roman"/>
          <w:sz w:val="24"/>
          <w:szCs w:val="24"/>
        </w:rPr>
        <w:t xml:space="preserve"> </w:t>
      </w:r>
      <w:r w:rsidRPr="00BF790C">
        <w:rPr>
          <w:rFonts w:ascii="Times New Roman" w:hAnsi="Times New Roman" w:cs="Times New Roman"/>
          <w:sz w:val="24"/>
          <w:szCs w:val="24"/>
        </w:rPr>
        <w:t xml:space="preserve">small firms are less likely </w:t>
      </w:r>
      <w:r w:rsidR="000E59DA" w:rsidRPr="00BF790C">
        <w:rPr>
          <w:rFonts w:ascii="Times New Roman" w:hAnsi="Times New Roman" w:cs="Times New Roman"/>
          <w:sz w:val="24"/>
          <w:szCs w:val="24"/>
        </w:rPr>
        <w:t xml:space="preserve">to provide a retirement plan for their workers because of the lack of economies of scale in retirement account administration and the uncertainty about firm revenues. </w:t>
      </w:r>
    </w:p>
    <w:p w:rsidR="000E59DA" w:rsidRPr="00BF790C" w:rsidRDefault="00B4378A"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The environment favoring r</w:t>
      </w:r>
      <w:r w:rsidR="000E59DA" w:rsidRPr="00BF790C">
        <w:rPr>
          <w:rFonts w:ascii="Times New Roman" w:hAnsi="Times New Roman" w:cs="Times New Roman"/>
          <w:sz w:val="24"/>
          <w:szCs w:val="24"/>
        </w:rPr>
        <w:t xml:space="preserve">etirement account sponsorship </w:t>
      </w:r>
      <w:r w:rsidR="009C60FB" w:rsidRPr="00BF790C">
        <w:rPr>
          <w:rFonts w:ascii="Times New Roman" w:hAnsi="Times New Roman" w:cs="Times New Roman"/>
          <w:sz w:val="24"/>
          <w:szCs w:val="24"/>
        </w:rPr>
        <w:t xml:space="preserve">eroded as </w:t>
      </w:r>
      <w:r w:rsidR="000E59DA" w:rsidRPr="00BF790C">
        <w:rPr>
          <w:rFonts w:ascii="Times New Roman" w:hAnsi="Times New Roman" w:cs="Times New Roman"/>
          <w:sz w:val="24"/>
          <w:szCs w:val="24"/>
        </w:rPr>
        <w:t>workers</w:t>
      </w:r>
      <w:r w:rsidR="00221A91" w:rsidRPr="00BF790C">
        <w:rPr>
          <w:rFonts w:ascii="Times New Roman" w:hAnsi="Times New Roman" w:cs="Times New Roman"/>
          <w:sz w:val="24"/>
          <w:szCs w:val="24"/>
        </w:rPr>
        <w:t>’</w:t>
      </w:r>
      <w:r w:rsidR="000E59DA" w:rsidRPr="00BF790C">
        <w:rPr>
          <w:rFonts w:ascii="Times New Roman" w:hAnsi="Times New Roman" w:cs="Times New Roman"/>
          <w:sz w:val="24"/>
          <w:szCs w:val="24"/>
        </w:rPr>
        <w:t xml:space="preserve"> ability to obtain an employer sponsored retirement account </w:t>
      </w:r>
      <w:r w:rsidRPr="00BF790C">
        <w:rPr>
          <w:rFonts w:ascii="Times New Roman" w:hAnsi="Times New Roman" w:cs="Times New Roman"/>
          <w:sz w:val="24"/>
          <w:szCs w:val="24"/>
        </w:rPr>
        <w:t>waned and</w:t>
      </w:r>
      <w:r w:rsidR="000E59DA" w:rsidRPr="00BF790C">
        <w:rPr>
          <w:rFonts w:ascii="Times New Roman" w:hAnsi="Times New Roman" w:cs="Times New Roman"/>
          <w:sz w:val="24"/>
          <w:szCs w:val="24"/>
        </w:rPr>
        <w:t xml:space="preserve"> the firms’ </w:t>
      </w:r>
      <w:r w:rsidRPr="00BF790C">
        <w:rPr>
          <w:rFonts w:ascii="Times New Roman" w:hAnsi="Times New Roman" w:cs="Times New Roman"/>
          <w:sz w:val="24"/>
          <w:szCs w:val="24"/>
        </w:rPr>
        <w:t xml:space="preserve">incentives </w:t>
      </w:r>
      <w:r w:rsidR="000E59DA" w:rsidRPr="00BF790C">
        <w:rPr>
          <w:rFonts w:ascii="Times New Roman" w:hAnsi="Times New Roman" w:cs="Times New Roman"/>
          <w:sz w:val="24"/>
          <w:szCs w:val="24"/>
        </w:rPr>
        <w:t>to provide a retirement account</w:t>
      </w:r>
      <w:r w:rsidR="009C60FB" w:rsidRPr="00BF790C">
        <w:rPr>
          <w:rFonts w:ascii="Times New Roman" w:hAnsi="Times New Roman" w:cs="Times New Roman"/>
          <w:sz w:val="24"/>
          <w:szCs w:val="24"/>
        </w:rPr>
        <w:t xml:space="preserve"> </w:t>
      </w:r>
      <w:r w:rsidRPr="00BF790C">
        <w:rPr>
          <w:rFonts w:ascii="Times New Roman" w:hAnsi="Times New Roman" w:cs="Times New Roman"/>
          <w:sz w:val="24"/>
          <w:szCs w:val="24"/>
        </w:rPr>
        <w:t>fell</w:t>
      </w:r>
      <w:r w:rsidR="000E59DA" w:rsidRPr="00BF790C">
        <w:rPr>
          <w:rFonts w:ascii="Times New Roman" w:hAnsi="Times New Roman" w:cs="Times New Roman"/>
          <w:sz w:val="24"/>
          <w:szCs w:val="24"/>
        </w:rPr>
        <w:t xml:space="preserve">. The </w:t>
      </w:r>
      <w:r w:rsidR="00750484" w:rsidRPr="00BF790C">
        <w:rPr>
          <w:rFonts w:ascii="Times New Roman" w:hAnsi="Times New Roman" w:cs="Times New Roman"/>
          <w:sz w:val="24"/>
          <w:szCs w:val="24"/>
        </w:rPr>
        <w:t>unionization rate declined</w:t>
      </w:r>
      <w:r w:rsidR="009E5055" w:rsidRPr="00BF790C">
        <w:rPr>
          <w:rFonts w:ascii="Times New Roman" w:hAnsi="Times New Roman" w:cs="Times New Roman"/>
          <w:sz w:val="24"/>
          <w:szCs w:val="24"/>
        </w:rPr>
        <w:t xml:space="preserve"> </w:t>
      </w:r>
      <w:r w:rsidR="005D4010" w:rsidRPr="00BF790C">
        <w:rPr>
          <w:rFonts w:ascii="Times New Roman" w:hAnsi="Times New Roman" w:cs="Times New Roman"/>
          <w:sz w:val="24"/>
          <w:szCs w:val="24"/>
        </w:rPr>
        <w:t>(-3</w:t>
      </w:r>
      <w:r w:rsidR="00221A91" w:rsidRPr="00BF790C">
        <w:rPr>
          <w:rFonts w:ascii="Times New Roman" w:hAnsi="Times New Roman" w:cs="Times New Roman"/>
          <w:sz w:val="24"/>
          <w:szCs w:val="24"/>
        </w:rPr>
        <w:t xml:space="preserve"> </w:t>
      </w:r>
      <w:r w:rsidR="009C60FB" w:rsidRPr="00BF790C">
        <w:rPr>
          <w:rFonts w:ascii="Times New Roman" w:hAnsi="Times New Roman" w:cs="Times New Roman"/>
          <w:sz w:val="24"/>
          <w:szCs w:val="24"/>
        </w:rPr>
        <w:t>percentage points</w:t>
      </w:r>
      <w:r w:rsidR="00221A91" w:rsidRPr="00BF790C">
        <w:rPr>
          <w:rFonts w:ascii="Times New Roman" w:hAnsi="Times New Roman" w:cs="Times New Roman"/>
          <w:sz w:val="24"/>
          <w:szCs w:val="24"/>
        </w:rPr>
        <w:t xml:space="preserve">) </w:t>
      </w:r>
      <w:r w:rsidR="009E5055" w:rsidRPr="00BF790C">
        <w:rPr>
          <w:rFonts w:ascii="Times New Roman" w:hAnsi="Times New Roman" w:cs="Times New Roman"/>
          <w:sz w:val="24"/>
          <w:szCs w:val="24"/>
        </w:rPr>
        <w:t>and</w:t>
      </w:r>
      <w:r w:rsidR="002F4327" w:rsidRPr="00BF790C">
        <w:rPr>
          <w:rFonts w:ascii="Times New Roman" w:hAnsi="Times New Roman" w:cs="Times New Roman"/>
          <w:sz w:val="24"/>
          <w:szCs w:val="24"/>
        </w:rPr>
        <w:t xml:space="preserve"> </w:t>
      </w:r>
      <w:r w:rsidR="009E5055" w:rsidRPr="00BF790C">
        <w:rPr>
          <w:rFonts w:ascii="Times New Roman" w:hAnsi="Times New Roman" w:cs="Times New Roman"/>
          <w:sz w:val="24"/>
          <w:szCs w:val="24"/>
        </w:rPr>
        <w:t xml:space="preserve">unemployment rates for </w:t>
      </w:r>
      <w:r w:rsidR="005D4010" w:rsidRPr="00BF790C">
        <w:rPr>
          <w:rFonts w:ascii="Times New Roman" w:hAnsi="Times New Roman" w:cs="Times New Roman"/>
          <w:sz w:val="24"/>
          <w:szCs w:val="24"/>
        </w:rPr>
        <w:t>all</w:t>
      </w:r>
      <w:r w:rsidR="009E5055" w:rsidRPr="00BF790C">
        <w:rPr>
          <w:rFonts w:ascii="Times New Roman" w:hAnsi="Times New Roman" w:cs="Times New Roman"/>
          <w:sz w:val="24"/>
          <w:szCs w:val="24"/>
        </w:rPr>
        <w:t xml:space="preserve"> age group</w:t>
      </w:r>
      <w:r w:rsidR="005D4010" w:rsidRPr="00BF790C">
        <w:rPr>
          <w:rFonts w:ascii="Times New Roman" w:hAnsi="Times New Roman" w:cs="Times New Roman"/>
          <w:sz w:val="24"/>
          <w:szCs w:val="24"/>
        </w:rPr>
        <w:t>s</w:t>
      </w:r>
      <w:r w:rsidR="009E5055" w:rsidRPr="00BF790C">
        <w:rPr>
          <w:rFonts w:ascii="Times New Roman" w:hAnsi="Times New Roman" w:cs="Times New Roman"/>
          <w:sz w:val="24"/>
          <w:szCs w:val="24"/>
        </w:rPr>
        <w:t xml:space="preserve"> </w:t>
      </w:r>
      <w:r w:rsidR="005D4010" w:rsidRPr="00BF790C">
        <w:rPr>
          <w:rFonts w:ascii="Times New Roman" w:hAnsi="Times New Roman" w:cs="Times New Roman"/>
          <w:sz w:val="24"/>
          <w:szCs w:val="24"/>
        </w:rPr>
        <w:t>increased</w:t>
      </w:r>
      <w:r w:rsidR="00386837" w:rsidRPr="00BF790C">
        <w:rPr>
          <w:rFonts w:ascii="Times New Roman" w:hAnsi="Times New Roman" w:cs="Times New Roman"/>
          <w:sz w:val="24"/>
          <w:szCs w:val="24"/>
        </w:rPr>
        <w:t xml:space="preserve"> by 4-5 percentage points</w:t>
      </w:r>
      <w:r w:rsidR="005D4010" w:rsidRPr="00BF790C">
        <w:rPr>
          <w:rFonts w:ascii="Times New Roman" w:hAnsi="Times New Roman" w:cs="Times New Roman"/>
          <w:sz w:val="24"/>
          <w:szCs w:val="24"/>
        </w:rPr>
        <w:t>. Moreover, unemployment trends were heading upwards for all age groups in the latter part of the decade. Finally, inequality</w:t>
      </w:r>
      <w:r w:rsidRPr="00BF790C">
        <w:rPr>
          <w:rFonts w:ascii="Times New Roman" w:hAnsi="Times New Roman" w:cs="Times New Roman"/>
          <w:sz w:val="24"/>
          <w:szCs w:val="24"/>
        </w:rPr>
        <w:t xml:space="preserve"> got worse, </w:t>
      </w:r>
      <w:r w:rsidR="00201144" w:rsidRPr="00BF790C">
        <w:rPr>
          <w:rFonts w:ascii="Times New Roman" w:hAnsi="Times New Roman" w:cs="Times New Roman"/>
          <w:sz w:val="24"/>
          <w:szCs w:val="24"/>
        </w:rPr>
        <w:t>measured</w:t>
      </w:r>
      <w:r w:rsidRPr="00BF790C">
        <w:rPr>
          <w:rFonts w:ascii="Times New Roman" w:hAnsi="Times New Roman" w:cs="Times New Roman"/>
          <w:sz w:val="24"/>
          <w:szCs w:val="24"/>
        </w:rPr>
        <w:t xml:space="preserve"> by rising GINI coefficients, indicating fewer people in the upper income tax rate brackets.</w:t>
      </w:r>
      <w:r w:rsidR="005D4010" w:rsidRPr="00BF790C">
        <w:rPr>
          <w:rFonts w:ascii="Times New Roman" w:hAnsi="Times New Roman" w:cs="Times New Roman"/>
          <w:sz w:val="24"/>
          <w:szCs w:val="24"/>
        </w:rPr>
        <w:t xml:space="preserve"> </w:t>
      </w:r>
      <w:r w:rsidR="002F4327" w:rsidRPr="00BF790C">
        <w:rPr>
          <w:rFonts w:ascii="Times New Roman" w:hAnsi="Times New Roman" w:cs="Times New Roman"/>
          <w:sz w:val="24"/>
          <w:szCs w:val="24"/>
        </w:rPr>
        <w:t xml:space="preserve">All of these changes </w:t>
      </w:r>
      <w:r w:rsidR="00201144" w:rsidRPr="00BF790C">
        <w:rPr>
          <w:rFonts w:ascii="Times New Roman" w:hAnsi="Times New Roman" w:cs="Times New Roman"/>
          <w:sz w:val="24"/>
          <w:szCs w:val="24"/>
        </w:rPr>
        <w:t xml:space="preserve">would </w:t>
      </w:r>
      <w:r w:rsidR="002F4327" w:rsidRPr="00BF790C">
        <w:rPr>
          <w:rFonts w:ascii="Times New Roman" w:hAnsi="Times New Roman" w:cs="Times New Roman"/>
          <w:sz w:val="24"/>
          <w:szCs w:val="24"/>
        </w:rPr>
        <w:t>push sponsorship rates down.</w:t>
      </w:r>
      <w:r w:rsidR="00537105" w:rsidRPr="00BF790C">
        <w:rPr>
          <w:rFonts w:ascii="Times New Roman" w:hAnsi="Times New Roman" w:cs="Times New Roman"/>
          <w:sz w:val="24"/>
          <w:szCs w:val="24"/>
        </w:rPr>
        <w:t xml:space="preserve"> </w:t>
      </w:r>
    </w:p>
    <w:p w:rsidR="00C8075C" w:rsidRPr="00BF790C" w:rsidRDefault="00386837"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In order to parse out the impact of each change on retirement account sponsorship rates, we conduct </w:t>
      </w:r>
      <w:proofErr w:type="gramStart"/>
      <w:r w:rsidRPr="00BF790C">
        <w:rPr>
          <w:rFonts w:ascii="Times New Roman" w:hAnsi="Times New Roman" w:cs="Times New Roman"/>
          <w:sz w:val="24"/>
          <w:szCs w:val="24"/>
        </w:rPr>
        <w:t>an Oaxaca</w:t>
      </w:r>
      <w:proofErr w:type="gramEnd"/>
      <w:r w:rsidRPr="00BF790C">
        <w:rPr>
          <w:rFonts w:ascii="Times New Roman" w:hAnsi="Times New Roman" w:cs="Times New Roman"/>
          <w:sz w:val="24"/>
          <w:szCs w:val="24"/>
        </w:rPr>
        <w:t xml:space="preserve">-Blinder decomposition. This allows us to analyze the total </w:t>
      </w:r>
      <w:r w:rsidR="00201144" w:rsidRPr="00BF790C">
        <w:rPr>
          <w:rFonts w:ascii="Times New Roman" w:hAnsi="Times New Roman" w:cs="Times New Roman"/>
          <w:sz w:val="24"/>
          <w:szCs w:val="24"/>
        </w:rPr>
        <w:t xml:space="preserve">change in retirement account sponsorship, and to break down this total </w:t>
      </w:r>
      <w:r w:rsidR="00DD33C8" w:rsidRPr="00BF790C">
        <w:rPr>
          <w:rFonts w:ascii="Times New Roman" w:hAnsi="Times New Roman" w:cs="Times New Roman"/>
          <w:sz w:val="24"/>
          <w:szCs w:val="24"/>
        </w:rPr>
        <w:t>change</w:t>
      </w:r>
      <w:r w:rsidR="00201144" w:rsidRPr="00BF790C">
        <w:rPr>
          <w:rFonts w:ascii="Times New Roman" w:hAnsi="Times New Roman" w:cs="Times New Roman"/>
          <w:sz w:val="24"/>
          <w:szCs w:val="24"/>
        </w:rPr>
        <w:t xml:space="preserve"> into the portions resulting from changes in worker, firm and state characteristics, and the share</w:t>
      </w:r>
      <w:r w:rsidR="00DD33C8" w:rsidRPr="00BF790C">
        <w:rPr>
          <w:rFonts w:ascii="Times New Roman" w:hAnsi="Times New Roman" w:cs="Times New Roman"/>
          <w:sz w:val="24"/>
          <w:szCs w:val="24"/>
        </w:rPr>
        <w:t>s</w:t>
      </w:r>
      <w:r w:rsidR="00201144" w:rsidRPr="00BF790C">
        <w:rPr>
          <w:rFonts w:ascii="Times New Roman" w:hAnsi="Times New Roman" w:cs="Times New Roman"/>
          <w:sz w:val="24"/>
          <w:szCs w:val="24"/>
        </w:rPr>
        <w:t xml:space="preserve"> attributable to change</w:t>
      </w:r>
      <w:r w:rsidR="00DD33C8" w:rsidRPr="00BF790C">
        <w:rPr>
          <w:rFonts w:ascii="Times New Roman" w:hAnsi="Times New Roman" w:cs="Times New Roman"/>
          <w:sz w:val="24"/>
          <w:szCs w:val="24"/>
        </w:rPr>
        <w:t>s</w:t>
      </w:r>
      <w:r w:rsidR="00201144" w:rsidRPr="00BF790C">
        <w:rPr>
          <w:rFonts w:ascii="Times New Roman" w:hAnsi="Times New Roman" w:cs="Times New Roman"/>
          <w:sz w:val="24"/>
          <w:szCs w:val="24"/>
        </w:rPr>
        <w:t xml:space="preserve"> in the price of these characteristics. </w:t>
      </w:r>
      <w:r w:rsidRPr="00BF790C">
        <w:rPr>
          <w:rFonts w:ascii="Times New Roman" w:hAnsi="Times New Roman" w:cs="Times New Roman"/>
          <w:sz w:val="24"/>
          <w:szCs w:val="24"/>
        </w:rPr>
        <w:t xml:space="preserve"> </w:t>
      </w:r>
    </w:p>
    <w:p w:rsidR="007F2F60" w:rsidRPr="00BF790C" w:rsidRDefault="007F2F60" w:rsidP="001F00BE">
      <w:pPr>
        <w:spacing w:line="480" w:lineRule="auto"/>
        <w:rPr>
          <w:rFonts w:ascii="Times New Roman" w:hAnsi="Times New Roman" w:cs="Times New Roman"/>
          <w:b/>
          <w:sz w:val="24"/>
          <w:szCs w:val="24"/>
        </w:rPr>
      </w:pPr>
    </w:p>
    <w:p w:rsidR="00C8075C" w:rsidRPr="00BF790C" w:rsidRDefault="00BE1A6B" w:rsidP="001F00BE">
      <w:pPr>
        <w:spacing w:line="480" w:lineRule="auto"/>
        <w:jc w:val="center"/>
        <w:rPr>
          <w:rFonts w:ascii="Times New Roman" w:hAnsi="Times New Roman" w:cs="Times New Roman"/>
          <w:b/>
          <w:sz w:val="24"/>
          <w:szCs w:val="24"/>
        </w:rPr>
      </w:pPr>
      <w:r w:rsidRPr="00BF790C">
        <w:rPr>
          <w:rFonts w:ascii="Times New Roman" w:hAnsi="Times New Roman" w:cs="Times New Roman"/>
          <w:b/>
          <w:sz w:val="24"/>
          <w:szCs w:val="24"/>
        </w:rPr>
        <w:t>RESULTS</w:t>
      </w:r>
    </w:p>
    <w:p w:rsidR="00454974" w:rsidRPr="00BF790C" w:rsidRDefault="00B4378A"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A</w:t>
      </w:r>
      <w:r w:rsidR="00461E87" w:rsidRPr="00BF790C">
        <w:rPr>
          <w:rFonts w:ascii="Times New Roman" w:hAnsi="Times New Roman" w:cs="Times New Roman"/>
          <w:sz w:val="24"/>
          <w:szCs w:val="24"/>
        </w:rPr>
        <w:t xml:space="preserve"> </w:t>
      </w:r>
      <w:proofErr w:type="spellStart"/>
      <w:r w:rsidR="00461E87" w:rsidRPr="00BF790C">
        <w:rPr>
          <w:rFonts w:ascii="Times New Roman" w:hAnsi="Times New Roman" w:cs="Times New Roman"/>
          <w:sz w:val="24"/>
          <w:szCs w:val="24"/>
        </w:rPr>
        <w:t>probit</w:t>
      </w:r>
      <w:proofErr w:type="spellEnd"/>
      <w:r w:rsidR="00461E87" w:rsidRPr="00BF790C">
        <w:rPr>
          <w:rFonts w:ascii="Times New Roman" w:hAnsi="Times New Roman" w:cs="Times New Roman"/>
          <w:sz w:val="24"/>
          <w:szCs w:val="24"/>
        </w:rPr>
        <w:t xml:space="preserve"> analysis </w:t>
      </w:r>
      <w:r w:rsidRPr="00BF790C">
        <w:rPr>
          <w:rFonts w:ascii="Times New Roman" w:hAnsi="Times New Roman" w:cs="Times New Roman"/>
          <w:sz w:val="24"/>
          <w:szCs w:val="24"/>
        </w:rPr>
        <w:t xml:space="preserve">for </w:t>
      </w:r>
      <w:r w:rsidR="00461E87" w:rsidRPr="00BF790C">
        <w:rPr>
          <w:rFonts w:ascii="Times New Roman" w:hAnsi="Times New Roman" w:cs="Times New Roman"/>
          <w:sz w:val="24"/>
          <w:szCs w:val="24"/>
        </w:rPr>
        <w:t xml:space="preserve">each </w:t>
      </w:r>
      <w:r w:rsidR="00386837" w:rsidRPr="00BF790C">
        <w:rPr>
          <w:rFonts w:ascii="Times New Roman" w:hAnsi="Times New Roman" w:cs="Times New Roman"/>
          <w:sz w:val="24"/>
          <w:szCs w:val="24"/>
        </w:rPr>
        <w:t>period</w:t>
      </w:r>
      <w:r w:rsidRPr="00BF790C">
        <w:rPr>
          <w:rFonts w:ascii="Times New Roman" w:hAnsi="Times New Roman" w:cs="Times New Roman"/>
          <w:sz w:val="24"/>
          <w:szCs w:val="24"/>
        </w:rPr>
        <w:t xml:space="preserve"> </w:t>
      </w:r>
      <w:r w:rsidR="00461E87" w:rsidRPr="00BF790C">
        <w:rPr>
          <w:rFonts w:ascii="Times New Roman" w:hAnsi="Times New Roman" w:cs="Times New Roman"/>
          <w:sz w:val="24"/>
          <w:szCs w:val="24"/>
        </w:rPr>
        <w:t>explain</w:t>
      </w:r>
      <w:r w:rsidRPr="00BF790C">
        <w:rPr>
          <w:rFonts w:ascii="Times New Roman" w:hAnsi="Times New Roman" w:cs="Times New Roman"/>
          <w:sz w:val="24"/>
          <w:szCs w:val="24"/>
        </w:rPr>
        <w:t>s</w:t>
      </w:r>
      <w:r w:rsidR="00461E87" w:rsidRPr="00BF790C">
        <w:rPr>
          <w:rFonts w:ascii="Times New Roman" w:hAnsi="Times New Roman" w:cs="Times New Roman"/>
          <w:sz w:val="24"/>
          <w:szCs w:val="24"/>
        </w:rPr>
        <w:t xml:space="preserve"> variations in pension sponsorship across individuals</w:t>
      </w:r>
      <w:r w:rsidR="0067523B" w:rsidRPr="00BF790C">
        <w:rPr>
          <w:rFonts w:ascii="Times New Roman" w:hAnsi="Times New Roman" w:cs="Times New Roman"/>
          <w:sz w:val="24"/>
          <w:szCs w:val="24"/>
        </w:rPr>
        <w:t>, controll</w:t>
      </w:r>
      <w:r w:rsidR="00461E87" w:rsidRPr="00BF790C">
        <w:rPr>
          <w:rFonts w:ascii="Times New Roman" w:hAnsi="Times New Roman" w:cs="Times New Roman"/>
          <w:sz w:val="24"/>
          <w:szCs w:val="24"/>
        </w:rPr>
        <w:t xml:space="preserve">ing for individual and </w:t>
      </w:r>
      <w:r w:rsidRPr="00BF790C">
        <w:rPr>
          <w:rFonts w:ascii="Times New Roman" w:hAnsi="Times New Roman" w:cs="Times New Roman"/>
          <w:sz w:val="24"/>
          <w:szCs w:val="24"/>
        </w:rPr>
        <w:t xml:space="preserve">employer </w:t>
      </w:r>
      <w:r w:rsidR="00461E87" w:rsidRPr="00BF790C">
        <w:rPr>
          <w:rFonts w:ascii="Times New Roman" w:hAnsi="Times New Roman" w:cs="Times New Roman"/>
          <w:sz w:val="24"/>
          <w:szCs w:val="24"/>
        </w:rPr>
        <w:t>characteristics, as well as state level variables for the state th</w:t>
      </w:r>
      <w:r w:rsidR="009651C7" w:rsidRPr="00BF790C">
        <w:rPr>
          <w:rFonts w:ascii="Times New Roman" w:hAnsi="Times New Roman" w:cs="Times New Roman"/>
          <w:sz w:val="24"/>
          <w:szCs w:val="24"/>
        </w:rPr>
        <w:t xml:space="preserve">ey live in. </w:t>
      </w:r>
      <w:r w:rsidR="00461E87" w:rsidRPr="00BF790C">
        <w:rPr>
          <w:rFonts w:ascii="Times New Roman" w:hAnsi="Times New Roman" w:cs="Times New Roman"/>
          <w:sz w:val="24"/>
          <w:szCs w:val="24"/>
        </w:rPr>
        <w:t xml:space="preserve">Standard errors control for clustering at the state level. </w:t>
      </w:r>
    </w:p>
    <w:p w:rsidR="006C5CFC" w:rsidRDefault="00E72A24"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The </w:t>
      </w:r>
      <w:proofErr w:type="spellStart"/>
      <w:r w:rsidRPr="00BF790C">
        <w:rPr>
          <w:rFonts w:ascii="Times New Roman" w:hAnsi="Times New Roman" w:cs="Times New Roman"/>
          <w:sz w:val="24"/>
          <w:szCs w:val="24"/>
        </w:rPr>
        <w:t>probit</w:t>
      </w:r>
      <w:proofErr w:type="spellEnd"/>
      <w:r w:rsidRPr="00BF790C">
        <w:rPr>
          <w:rFonts w:ascii="Times New Roman" w:hAnsi="Times New Roman" w:cs="Times New Roman"/>
          <w:sz w:val="24"/>
          <w:szCs w:val="24"/>
        </w:rPr>
        <w:t xml:space="preserve"> </w:t>
      </w:r>
      <w:r w:rsidR="0096364A" w:rsidRPr="00BF790C">
        <w:rPr>
          <w:rFonts w:ascii="Times New Roman" w:hAnsi="Times New Roman" w:cs="Times New Roman"/>
          <w:sz w:val="24"/>
          <w:szCs w:val="24"/>
        </w:rPr>
        <w:t xml:space="preserve">analysis </w:t>
      </w:r>
      <w:r w:rsidRPr="00BF790C">
        <w:rPr>
          <w:rFonts w:ascii="Times New Roman" w:hAnsi="Times New Roman" w:cs="Times New Roman"/>
          <w:sz w:val="24"/>
          <w:szCs w:val="24"/>
        </w:rPr>
        <w:t xml:space="preserve">finds that </w:t>
      </w:r>
      <w:r w:rsidR="006313F7" w:rsidRPr="00BF790C">
        <w:rPr>
          <w:rFonts w:ascii="Times New Roman" w:hAnsi="Times New Roman" w:cs="Times New Roman"/>
          <w:sz w:val="24"/>
          <w:szCs w:val="24"/>
        </w:rPr>
        <w:t xml:space="preserve">in addition to the </w:t>
      </w:r>
      <w:r w:rsidR="007F2F60" w:rsidRPr="00BF790C">
        <w:rPr>
          <w:rFonts w:ascii="Times New Roman" w:hAnsi="Times New Roman" w:cs="Times New Roman"/>
          <w:sz w:val="24"/>
          <w:szCs w:val="24"/>
        </w:rPr>
        <w:t xml:space="preserve">individual and employer </w:t>
      </w:r>
      <w:r w:rsidR="006313F7" w:rsidRPr="00BF790C">
        <w:rPr>
          <w:rFonts w:ascii="Times New Roman" w:hAnsi="Times New Roman" w:cs="Times New Roman"/>
          <w:sz w:val="24"/>
          <w:szCs w:val="24"/>
        </w:rPr>
        <w:t xml:space="preserve">characteristics, </w:t>
      </w:r>
      <w:r w:rsidRPr="00BF790C">
        <w:rPr>
          <w:rFonts w:ascii="Times New Roman" w:hAnsi="Times New Roman" w:cs="Times New Roman"/>
          <w:sz w:val="24"/>
          <w:szCs w:val="24"/>
        </w:rPr>
        <w:t xml:space="preserve">many of the state level variables are indeed significant in explaining </w:t>
      </w:r>
      <w:r w:rsidR="007F2F60" w:rsidRPr="00BF790C">
        <w:rPr>
          <w:rFonts w:ascii="Times New Roman" w:hAnsi="Times New Roman" w:cs="Times New Roman"/>
          <w:sz w:val="24"/>
          <w:szCs w:val="24"/>
        </w:rPr>
        <w:t xml:space="preserve">differences in </w:t>
      </w:r>
      <w:r w:rsidRPr="00BF790C">
        <w:rPr>
          <w:rFonts w:ascii="Times New Roman" w:hAnsi="Times New Roman" w:cs="Times New Roman"/>
          <w:sz w:val="24"/>
          <w:szCs w:val="24"/>
        </w:rPr>
        <w:t>pension s</w:t>
      </w:r>
      <w:r w:rsidR="005D795E" w:rsidRPr="00BF790C">
        <w:rPr>
          <w:rFonts w:ascii="Times New Roman" w:hAnsi="Times New Roman" w:cs="Times New Roman"/>
          <w:sz w:val="24"/>
          <w:szCs w:val="24"/>
        </w:rPr>
        <w:t>ponsorship across individuals.</w:t>
      </w:r>
      <w:r w:rsidR="00386837" w:rsidRPr="00BF790C">
        <w:rPr>
          <w:rFonts w:ascii="Times New Roman" w:hAnsi="Times New Roman" w:cs="Times New Roman"/>
          <w:sz w:val="24"/>
          <w:szCs w:val="24"/>
        </w:rPr>
        <w:t xml:space="preserve"> </w:t>
      </w:r>
    </w:p>
    <w:p w:rsidR="006C5CFC" w:rsidRDefault="006C5CFC" w:rsidP="001F00BE">
      <w:pPr>
        <w:spacing w:line="480" w:lineRule="auto"/>
        <w:rPr>
          <w:rFonts w:ascii="Times New Roman" w:hAnsi="Times New Roman" w:cs="Times New Roman"/>
          <w:sz w:val="24"/>
          <w:szCs w:val="24"/>
        </w:rPr>
      </w:pPr>
      <w:r>
        <w:rPr>
          <w:rFonts w:ascii="Times New Roman" w:hAnsi="Times New Roman" w:cs="Times New Roman"/>
          <w:sz w:val="24"/>
          <w:szCs w:val="24"/>
        </w:rPr>
        <w:t>[Table 3 about here]</w:t>
      </w:r>
    </w:p>
    <w:p w:rsidR="00A91866" w:rsidRPr="00BF790C" w:rsidRDefault="006313F7"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Specifically</w:t>
      </w:r>
      <w:r w:rsidR="00E72A24" w:rsidRPr="00BF790C">
        <w:rPr>
          <w:rFonts w:ascii="Times New Roman" w:hAnsi="Times New Roman" w:cs="Times New Roman"/>
          <w:sz w:val="24"/>
          <w:szCs w:val="24"/>
        </w:rPr>
        <w:t xml:space="preserve">, </w:t>
      </w:r>
      <w:r w:rsidR="009651C7" w:rsidRPr="00BF790C">
        <w:rPr>
          <w:rFonts w:ascii="Times New Roman" w:hAnsi="Times New Roman" w:cs="Times New Roman"/>
          <w:sz w:val="24"/>
          <w:szCs w:val="24"/>
        </w:rPr>
        <w:t xml:space="preserve">as </w:t>
      </w:r>
      <w:r w:rsidR="0096364A" w:rsidRPr="00BF790C">
        <w:rPr>
          <w:rFonts w:ascii="Times New Roman" w:hAnsi="Times New Roman" w:cs="Times New Roman"/>
          <w:sz w:val="24"/>
          <w:szCs w:val="24"/>
        </w:rPr>
        <w:t xml:space="preserve">the </w:t>
      </w:r>
      <w:r w:rsidR="009651C7" w:rsidRPr="00BF790C">
        <w:rPr>
          <w:rFonts w:ascii="Times New Roman" w:hAnsi="Times New Roman" w:cs="Times New Roman"/>
          <w:sz w:val="24"/>
          <w:szCs w:val="24"/>
        </w:rPr>
        <w:t xml:space="preserve">fraction of the working age population who is educated increases in a state, so does the sponsorship rate; this effect is in addition to the impact of an individual worker’s education level on his/her own likelihood of being sponsored for a retirement account at work. Also, the fraction of the workforce who </w:t>
      </w:r>
      <w:r w:rsidR="00203765" w:rsidRPr="00BF790C">
        <w:rPr>
          <w:rFonts w:ascii="Times New Roman" w:hAnsi="Times New Roman" w:cs="Times New Roman"/>
          <w:sz w:val="24"/>
          <w:szCs w:val="24"/>
        </w:rPr>
        <w:t>is</w:t>
      </w:r>
      <w:r w:rsidR="009651C7" w:rsidRPr="00BF790C">
        <w:rPr>
          <w:rFonts w:ascii="Times New Roman" w:hAnsi="Times New Roman" w:cs="Times New Roman"/>
          <w:sz w:val="24"/>
          <w:szCs w:val="24"/>
        </w:rPr>
        <w:t xml:space="preserve"> at small firms significantly lowers the likelihood of an individual being sponsored at work, regardless of the size of </w:t>
      </w:r>
      <w:r w:rsidR="00203765" w:rsidRPr="00BF790C">
        <w:rPr>
          <w:rFonts w:ascii="Times New Roman" w:hAnsi="Times New Roman" w:cs="Times New Roman"/>
          <w:sz w:val="24"/>
          <w:szCs w:val="24"/>
        </w:rPr>
        <w:t>an</w:t>
      </w:r>
      <w:r w:rsidR="009651C7" w:rsidRPr="00BF790C">
        <w:rPr>
          <w:rFonts w:ascii="Times New Roman" w:hAnsi="Times New Roman" w:cs="Times New Roman"/>
          <w:sz w:val="24"/>
          <w:szCs w:val="24"/>
        </w:rPr>
        <w:t xml:space="preserve"> individual</w:t>
      </w:r>
      <w:r w:rsidR="00203765" w:rsidRPr="00BF790C">
        <w:rPr>
          <w:rFonts w:ascii="Times New Roman" w:hAnsi="Times New Roman" w:cs="Times New Roman"/>
          <w:sz w:val="24"/>
          <w:szCs w:val="24"/>
        </w:rPr>
        <w:t xml:space="preserve"> worker</w:t>
      </w:r>
      <w:r w:rsidR="009651C7" w:rsidRPr="00BF790C">
        <w:rPr>
          <w:rFonts w:ascii="Times New Roman" w:hAnsi="Times New Roman" w:cs="Times New Roman"/>
          <w:sz w:val="24"/>
          <w:szCs w:val="24"/>
        </w:rPr>
        <w:t xml:space="preserve">’s employer. The fraction of the working age population who are younger had a positive and significant effect on sponsorship in the earlier period, </w:t>
      </w:r>
      <w:r w:rsidR="00203765" w:rsidRPr="00BF790C">
        <w:rPr>
          <w:rFonts w:ascii="Times New Roman" w:hAnsi="Times New Roman" w:cs="Times New Roman"/>
          <w:sz w:val="24"/>
          <w:szCs w:val="24"/>
        </w:rPr>
        <w:t>but</w:t>
      </w:r>
      <w:r w:rsidR="009651C7" w:rsidRPr="00BF790C">
        <w:rPr>
          <w:rFonts w:ascii="Times New Roman" w:hAnsi="Times New Roman" w:cs="Times New Roman"/>
          <w:sz w:val="24"/>
          <w:szCs w:val="24"/>
        </w:rPr>
        <w:t xml:space="preserve"> that impact became negative in the later period. Finally, the state </w:t>
      </w:r>
      <w:proofErr w:type="spellStart"/>
      <w:r w:rsidR="009651C7" w:rsidRPr="00BF790C">
        <w:rPr>
          <w:rFonts w:ascii="Times New Roman" w:hAnsi="Times New Roman" w:cs="Times New Roman"/>
          <w:sz w:val="24"/>
          <w:szCs w:val="24"/>
        </w:rPr>
        <w:t>Gini</w:t>
      </w:r>
      <w:proofErr w:type="spellEnd"/>
      <w:r w:rsidR="009651C7" w:rsidRPr="00BF790C">
        <w:rPr>
          <w:rFonts w:ascii="Times New Roman" w:hAnsi="Times New Roman" w:cs="Times New Roman"/>
          <w:sz w:val="24"/>
          <w:szCs w:val="24"/>
        </w:rPr>
        <w:t xml:space="preserve"> coefficient and the state level unemployment rates and their trends are all significant determinants of pension sponsorship.</w:t>
      </w:r>
    </w:p>
    <w:p w:rsidR="00A91866" w:rsidRDefault="00461E87"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Applying the </w:t>
      </w:r>
      <w:r w:rsidR="007F5175" w:rsidRPr="00BF790C">
        <w:rPr>
          <w:rFonts w:ascii="Times New Roman" w:hAnsi="Times New Roman" w:cs="Times New Roman"/>
          <w:sz w:val="24"/>
          <w:szCs w:val="24"/>
        </w:rPr>
        <w:t xml:space="preserve">Oaxaca-Blinder </w:t>
      </w:r>
      <w:r w:rsidR="006313F7" w:rsidRPr="00BF790C">
        <w:rPr>
          <w:rFonts w:ascii="Times New Roman" w:hAnsi="Times New Roman" w:cs="Times New Roman"/>
          <w:sz w:val="24"/>
          <w:szCs w:val="24"/>
        </w:rPr>
        <w:t>threefold decomposition to the</w:t>
      </w:r>
      <w:r w:rsidR="00AC2C9E" w:rsidRPr="00BF790C">
        <w:rPr>
          <w:rFonts w:ascii="Times New Roman" w:hAnsi="Times New Roman" w:cs="Times New Roman"/>
          <w:sz w:val="24"/>
          <w:szCs w:val="24"/>
        </w:rPr>
        <w:t>se</w:t>
      </w:r>
      <w:r w:rsidR="006313F7" w:rsidRPr="00BF790C">
        <w:rPr>
          <w:rFonts w:ascii="Times New Roman" w:hAnsi="Times New Roman" w:cs="Times New Roman"/>
          <w:sz w:val="24"/>
          <w:szCs w:val="24"/>
        </w:rPr>
        <w:t xml:space="preserve"> </w:t>
      </w:r>
      <w:proofErr w:type="spellStart"/>
      <w:r w:rsidR="006313F7" w:rsidRPr="00BF790C">
        <w:rPr>
          <w:rFonts w:ascii="Times New Roman" w:hAnsi="Times New Roman" w:cs="Times New Roman"/>
          <w:sz w:val="24"/>
          <w:szCs w:val="24"/>
        </w:rPr>
        <w:t>p</w:t>
      </w:r>
      <w:r w:rsidRPr="00BF790C">
        <w:rPr>
          <w:rFonts w:ascii="Times New Roman" w:hAnsi="Times New Roman" w:cs="Times New Roman"/>
          <w:sz w:val="24"/>
          <w:szCs w:val="24"/>
        </w:rPr>
        <w:t>robit</w:t>
      </w:r>
      <w:proofErr w:type="spellEnd"/>
      <w:r w:rsidRPr="00BF790C">
        <w:rPr>
          <w:rFonts w:ascii="Times New Roman" w:hAnsi="Times New Roman" w:cs="Times New Roman"/>
          <w:sz w:val="24"/>
          <w:szCs w:val="24"/>
        </w:rPr>
        <w:t xml:space="preserve"> coefficients, we find that </w:t>
      </w:r>
      <w:r w:rsidR="00454974" w:rsidRPr="00BF790C">
        <w:rPr>
          <w:rFonts w:ascii="Times New Roman" w:hAnsi="Times New Roman" w:cs="Times New Roman"/>
          <w:sz w:val="24"/>
          <w:szCs w:val="24"/>
        </w:rPr>
        <w:t>the endowment effect (</w:t>
      </w:r>
      <w:r w:rsidR="00A91866" w:rsidRPr="00BF790C">
        <w:rPr>
          <w:rFonts w:ascii="Times New Roman" w:hAnsi="Times New Roman" w:cs="Times New Roman"/>
          <w:sz w:val="24"/>
          <w:szCs w:val="24"/>
        </w:rPr>
        <w:t xml:space="preserve">changes in worker </w:t>
      </w:r>
      <w:r w:rsidR="00454974" w:rsidRPr="00BF790C">
        <w:rPr>
          <w:rFonts w:ascii="Times New Roman" w:hAnsi="Times New Roman" w:cs="Times New Roman"/>
          <w:sz w:val="24"/>
          <w:szCs w:val="24"/>
        </w:rPr>
        <w:t xml:space="preserve">and firm </w:t>
      </w:r>
      <w:r w:rsidR="00A91866" w:rsidRPr="00BF790C">
        <w:rPr>
          <w:rFonts w:ascii="Times New Roman" w:hAnsi="Times New Roman" w:cs="Times New Roman"/>
          <w:sz w:val="24"/>
          <w:szCs w:val="24"/>
        </w:rPr>
        <w:t xml:space="preserve">characteristics and in </w:t>
      </w:r>
      <w:r w:rsidR="00454974" w:rsidRPr="00BF790C">
        <w:rPr>
          <w:rFonts w:ascii="Times New Roman" w:hAnsi="Times New Roman" w:cs="Times New Roman"/>
          <w:sz w:val="24"/>
          <w:szCs w:val="24"/>
        </w:rPr>
        <w:t>state-</w:t>
      </w:r>
      <w:r w:rsidR="003C203B" w:rsidRPr="00BF790C">
        <w:rPr>
          <w:rFonts w:ascii="Times New Roman" w:hAnsi="Times New Roman" w:cs="Times New Roman"/>
          <w:sz w:val="24"/>
          <w:szCs w:val="24"/>
        </w:rPr>
        <w:t xml:space="preserve">level </w:t>
      </w:r>
      <w:r w:rsidR="005225E1" w:rsidRPr="00BF790C">
        <w:rPr>
          <w:rFonts w:ascii="Times New Roman" w:hAnsi="Times New Roman" w:cs="Times New Roman"/>
          <w:sz w:val="24"/>
          <w:szCs w:val="24"/>
        </w:rPr>
        <w:t xml:space="preserve">bargaining environment </w:t>
      </w:r>
      <w:r w:rsidR="003C203B" w:rsidRPr="00BF790C">
        <w:rPr>
          <w:rFonts w:ascii="Times New Roman" w:hAnsi="Times New Roman" w:cs="Times New Roman"/>
          <w:sz w:val="24"/>
          <w:szCs w:val="24"/>
        </w:rPr>
        <w:t>variables</w:t>
      </w:r>
      <w:r w:rsidR="00454974" w:rsidRPr="00BF790C">
        <w:rPr>
          <w:rFonts w:ascii="Times New Roman" w:hAnsi="Times New Roman" w:cs="Times New Roman"/>
          <w:sz w:val="24"/>
          <w:szCs w:val="24"/>
        </w:rPr>
        <w:t>)</w:t>
      </w:r>
      <w:r w:rsidR="00A91866" w:rsidRPr="00BF790C">
        <w:rPr>
          <w:rFonts w:ascii="Times New Roman" w:hAnsi="Times New Roman" w:cs="Times New Roman"/>
          <w:sz w:val="24"/>
          <w:szCs w:val="24"/>
        </w:rPr>
        <w:t xml:space="preserve"> </w:t>
      </w:r>
      <w:r w:rsidR="003C203B" w:rsidRPr="00BF790C">
        <w:rPr>
          <w:rFonts w:ascii="Times New Roman" w:hAnsi="Times New Roman" w:cs="Times New Roman"/>
          <w:sz w:val="24"/>
          <w:szCs w:val="24"/>
        </w:rPr>
        <w:t>predicted a</w:t>
      </w:r>
      <w:r w:rsidR="00454974" w:rsidRPr="00BF790C">
        <w:rPr>
          <w:rFonts w:ascii="Times New Roman" w:hAnsi="Times New Roman" w:cs="Times New Roman"/>
          <w:sz w:val="24"/>
          <w:szCs w:val="24"/>
        </w:rPr>
        <w:t>n increase</w:t>
      </w:r>
      <w:r w:rsidR="003C203B" w:rsidRPr="00BF790C">
        <w:rPr>
          <w:rFonts w:ascii="Times New Roman" w:hAnsi="Times New Roman" w:cs="Times New Roman"/>
          <w:sz w:val="24"/>
          <w:szCs w:val="24"/>
        </w:rPr>
        <w:t xml:space="preserve"> </w:t>
      </w:r>
      <w:r w:rsidR="00A91866" w:rsidRPr="00BF790C">
        <w:rPr>
          <w:rFonts w:ascii="Times New Roman" w:hAnsi="Times New Roman" w:cs="Times New Roman"/>
          <w:sz w:val="24"/>
          <w:szCs w:val="24"/>
        </w:rPr>
        <w:t xml:space="preserve">in sponsorship rates </w:t>
      </w:r>
      <w:r w:rsidR="00454974" w:rsidRPr="00BF790C">
        <w:rPr>
          <w:rFonts w:ascii="Times New Roman" w:hAnsi="Times New Roman" w:cs="Times New Roman"/>
          <w:sz w:val="24"/>
          <w:szCs w:val="24"/>
        </w:rPr>
        <w:t>of 2</w:t>
      </w:r>
      <w:r w:rsidR="003C203B" w:rsidRPr="00BF790C">
        <w:rPr>
          <w:rFonts w:ascii="Times New Roman" w:hAnsi="Times New Roman" w:cs="Times New Roman"/>
          <w:sz w:val="24"/>
          <w:szCs w:val="24"/>
        </w:rPr>
        <w:t xml:space="preserve"> percentage points, while the </w:t>
      </w:r>
      <w:r w:rsidR="00454974" w:rsidRPr="00BF790C">
        <w:rPr>
          <w:rFonts w:ascii="Times New Roman" w:hAnsi="Times New Roman" w:cs="Times New Roman"/>
          <w:sz w:val="24"/>
          <w:szCs w:val="24"/>
        </w:rPr>
        <w:t>coefficient effect (</w:t>
      </w:r>
      <w:r w:rsidR="005225E1" w:rsidRPr="00BF790C">
        <w:rPr>
          <w:rFonts w:ascii="Times New Roman" w:hAnsi="Times New Roman" w:cs="Times New Roman"/>
          <w:sz w:val="24"/>
          <w:szCs w:val="24"/>
        </w:rPr>
        <w:t xml:space="preserve">changes in the </w:t>
      </w:r>
      <w:r w:rsidR="005225E1" w:rsidRPr="00BF790C">
        <w:rPr>
          <w:rFonts w:ascii="Times New Roman" w:hAnsi="Times New Roman" w:cs="Times New Roman"/>
          <w:i/>
          <w:sz w:val="24"/>
          <w:szCs w:val="24"/>
        </w:rPr>
        <w:t>role</w:t>
      </w:r>
      <w:r w:rsidR="005225E1" w:rsidRPr="00BF790C">
        <w:rPr>
          <w:rFonts w:ascii="Times New Roman" w:hAnsi="Times New Roman" w:cs="Times New Roman"/>
          <w:sz w:val="24"/>
          <w:szCs w:val="24"/>
        </w:rPr>
        <w:t xml:space="preserve"> of the endowments in determining sponsorship rates)</w:t>
      </w:r>
      <w:r w:rsidR="003C203B" w:rsidRPr="00BF790C">
        <w:rPr>
          <w:rFonts w:ascii="Times New Roman" w:hAnsi="Times New Roman" w:cs="Times New Roman"/>
          <w:sz w:val="24"/>
          <w:szCs w:val="24"/>
        </w:rPr>
        <w:t xml:space="preserve"> explained </w:t>
      </w:r>
      <w:r w:rsidR="00454974" w:rsidRPr="00BF790C">
        <w:rPr>
          <w:rFonts w:ascii="Times New Roman" w:hAnsi="Times New Roman" w:cs="Times New Roman"/>
          <w:sz w:val="24"/>
          <w:szCs w:val="24"/>
        </w:rPr>
        <w:t xml:space="preserve">a </w:t>
      </w:r>
      <w:r w:rsidR="003C203B" w:rsidRPr="00BF790C">
        <w:rPr>
          <w:rFonts w:ascii="Times New Roman" w:hAnsi="Times New Roman" w:cs="Times New Roman"/>
          <w:sz w:val="24"/>
          <w:szCs w:val="24"/>
        </w:rPr>
        <w:t xml:space="preserve">decrease in sponsorship rates of </w:t>
      </w:r>
      <w:r w:rsidR="00454974" w:rsidRPr="00BF790C">
        <w:rPr>
          <w:rFonts w:ascii="Times New Roman" w:hAnsi="Times New Roman" w:cs="Times New Roman"/>
          <w:sz w:val="24"/>
          <w:szCs w:val="24"/>
        </w:rPr>
        <w:t>3</w:t>
      </w:r>
      <w:r w:rsidR="003C203B" w:rsidRPr="00BF790C">
        <w:rPr>
          <w:rFonts w:ascii="Times New Roman" w:hAnsi="Times New Roman" w:cs="Times New Roman"/>
          <w:sz w:val="24"/>
          <w:szCs w:val="24"/>
        </w:rPr>
        <w:t xml:space="preserve"> percentage points</w:t>
      </w:r>
      <w:r w:rsidR="00A91866" w:rsidRPr="00BF790C">
        <w:rPr>
          <w:rFonts w:ascii="Times New Roman" w:hAnsi="Times New Roman" w:cs="Times New Roman"/>
          <w:sz w:val="24"/>
          <w:szCs w:val="24"/>
        </w:rPr>
        <w:t xml:space="preserve">. </w:t>
      </w:r>
      <w:r w:rsidR="00454974" w:rsidRPr="00BF790C">
        <w:rPr>
          <w:rFonts w:ascii="Times New Roman" w:hAnsi="Times New Roman" w:cs="Times New Roman"/>
          <w:sz w:val="24"/>
          <w:szCs w:val="24"/>
        </w:rPr>
        <w:t>Moreo</w:t>
      </w:r>
      <w:r w:rsidR="00A91866" w:rsidRPr="00BF790C">
        <w:rPr>
          <w:rFonts w:ascii="Times New Roman" w:hAnsi="Times New Roman" w:cs="Times New Roman"/>
          <w:sz w:val="24"/>
          <w:szCs w:val="24"/>
        </w:rPr>
        <w:t xml:space="preserve">ver, the </w:t>
      </w:r>
      <w:r w:rsidR="00A91866" w:rsidRPr="00BF790C">
        <w:rPr>
          <w:rFonts w:ascii="Times New Roman" w:hAnsi="Times New Roman" w:cs="Times New Roman"/>
          <w:i/>
          <w:sz w:val="24"/>
          <w:szCs w:val="24"/>
        </w:rPr>
        <w:t>interaction</w:t>
      </w:r>
      <w:r w:rsidR="00A91866" w:rsidRPr="00BF790C">
        <w:rPr>
          <w:rFonts w:ascii="Times New Roman" w:hAnsi="Times New Roman" w:cs="Times New Roman"/>
          <w:sz w:val="24"/>
          <w:szCs w:val="24"/>
        </w:rPr>
        <w:t xml:space="preserve"> </w:t>
      </w:r>
      <w:r w:rsidR="005225E1" w:rsidRPr="00BF790C">
        <w:rPr>
          <w:rFonts w:ascii="Times New Roman" w:hAnsi="Times New Roman" w:cs="Times New Roman"/>
          <w:sz w:val="24"/>
          <w:szCs w:val="24"/>
        </w:rPr>
        <w:t xml:space="preserve">between </w:t>
      </w:r>
      <w:r w:rsidR="00A91866" w:rsidRPr="00BF790C">
        <w:rPr>
          <w:rFonts w:ascii="Times New Roman" w:hAnsi="Times New Roman" w:cs="Times New Roman"/>
          <w:sz w:val="24"/>
          <w:szCs w:val="24"/>
        </w:rPr>
        <w:t xml:space="preserve">changes in </w:t>
      </w:r>
      <w:r w:rsidR="00454974" w:rsidRPr="00BF790C">
        <w:rPr>
          <w:rFonts w:ascii="Times New Roman" w:hAnsi="Times New Roman" w:cs="Times New Roman"/>
          <w:sz w:val="24"/>
          <w:szCs w:val="24"/>
        </w:rPr>
        <w:t>endowments</w:t>
      </w:r>
      <w:r w:rsidR="00A91866" w:rsidRPr="00BF790C">
        <w:rPr>
          <w:rFonts w:ascii="Times New Roman" w:hAnsi="Times New Roman" w:cs="Times New Roman"/>
          <w:sz w:val="24"/>
          <w:szCs w:val="24"/>
        </w:rPr>
        <w:t xml:space="preserve"> </w:t>
      </w:r>
      <w:r w:rsidR="005225E1" w:rsidRPr="00BF790C">
        <w:rPr>
          <w:rFonts w:ascii="Times New Roman" w:hAnsi="Times New Roman" w:cs="Times New Roman"/>
          <w:sz w:val="24"/>
          <w:szCs w:val="24"/>
        </w:rPr>
        <w:t>and</w:t>
      </w:r>
      <w:r w:rsidR="00A91866" w:rsidRPr="00BF790C">
        <w:rPr>
          <w:rFonts w:ascii="Times New Roman" w:hAnsi="Times New Roman" w:cs="Times New Roman"/>
          <w:sz w:val="24"/>
          <w:szCs w:val="24"/>
        </w:rPr>
        <w:t xml:space="preserve"> the change in their </w:t>
      </w:r>
      <w:r w:rsidR="003C203B" w:rsidRPr="00BF790C">
        <w:rPr>
          <w:rFonts w:ascii="Times New Roman" w:hAnsi="Times New Roman" w:cs="Times New Roman"/>
          <w:sz w:val="24"/>
          <w:szCs w:val="24"/>
        </w:rPr>
        <w:t>role</w:t>
      </w:r>
      <w:r w:rsidR="00A91866" w:rsidRPr="00BF790C">
        <w:rPr>
          <w:rFonts w:ascii="Times New Roman" w:hAnsi="Times New Roman" w:cs="Times New Roman"/>
          <w:sz w:val="24"/>
          <w:szCs w:val="24"/>
        </w:rPr>
        <w:t xml:space="preserve"> predicts </w:t>
      </w:r>
      <w:r w:rsidR="00454974" w:rsidRPr="00BF790C">
        <w:rPr>
          <w:rFonts w:ascii="Times New Roman" w:hAnsi="Times New Roman" w:cs="Times New Roman"/>
          <w:sz w:val="24"/>
          <w:szCs w:val="24"/>
        </w:rPr>
        <w:t>an 8 percentage point</w:t>
      </w:r>
      <w:r w:rsidR="003C203B" w:rsidRPr="00BF790C">
        <w:rPr>
          <w:rFonts w:ascii="Times New Roman" w:hAnsi="Times New Roman" w:cs="Times New Roman"/>
          <w:sz w:val="24"/>
          <w:szCs w:val="24"/>
        </w:rPr>
        <w:t xml:space="preserve"> </w:t>
      </w:r>
      <w:r w:rsidR="00A91866" w:rsidRPr="00BF790C">
        <w:rPr>
          <w:rFonts w:ascii="Times New Roman" w:hAnsi="Times New Roman" w:cs="Times New Roman"/>
          <w:sz w:val="24"/>
          <w:szCs w:val="24"/>
        </w:rPr>
        <w:t>decline in sponsorship rates.</w:t>
      </w:r>
    </w:p>
    <w:p w:rsidR="006C5CFC" w:rsidRPr="00BF790C" w:rsidRDefault="006C5CFC" w:rsidP="001F00BE">
      <w:pPr>
        <w:spacing w:line="480" w:lineRule="auto"/>
        <w:rPr>
          <w:rFonts w:ascii="Times New Roman" w:hAnsi="Times New Roman" w:cs="Times New Roman"/>
          <w:sz w:val="24"/>
          <w:szCs w:val="24"/>
        </w:rPr>
      </w:pPr>
      <w:r>
        <w:rPr>
          <w:rFonts w:ascii="Times New Roman" w:hAnsi="Times New Roman" w:cs="Times New Roman"/>
          <w:sz w:val="24"/>
          <w:szCs w:val="24"/>
        </w:rPr>
        <w:t>[Table 4 about here]</w:t>
      </w:r>
    </w:p>
    <w:p w:rsidR="008E5279" w:rsidRPr="00BF790C" w:rsidRDefault="006313F7"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Breaking</w:t>
      </w:r>
      <w:r w:rsidR="007F5175" w:rsidRPr="00BF790C">
        <w:rPr>
          <w:rFonts w:ascii="Times New Roman" w:hAnsi="Times New Roman" w:cs="Times New Roman"/>
          <w:sz w:val="24"/>
          <w:szCs w:val="24"/>
        </w:rPr>
        <w:t xml:space="preserve"> down </w:t>
      </w:r>
      <w:r w:rsidR="00454974" w:rsidRPr="00BF790C">
        <w:rPr>
          <w:rFonts w:ascii="Times New Roman" w:hAnsi="Times New Roman" w:cs="Times New Roman"/>
          <w:sz w:val="24"/>
          <w:szCs w:val="24"/>
        </w:rPr>
        <w:t xml:space="preserve">the </w:t>
      </w:r>
      <w:r w:rsidR="007F5175" w:rsidRPr="00BF790C">
        <w:rPr>
          <w:rFonts w:ascii="Times New Roman" w:hAnsi="Times New Roman" w:cs="Times New Roman"/>
          <w:sz w:val="24"/>
          <w:szCs w:val="24"/>
        </w:rPr>
        <w:t xml:space="preserve">decomposition components </w:t>
      </w:r>
      <w:r w:rsidR="007F2F60" w:rsidRPr="00BF790C">
        <w:rPr>
          <w:rFonts w:ascii="Times New Roman" w:hAnsi="Times New Roman" w:cs="Times New Roman"/>
          <w:sz w:val="24"/>
          <w:szCs w:val="24"/>
        </w:rPr>
        <w:t>further</w:t>
      </w:r>
      <w:r w:rsidR="007F5175" w:rsidRPr="00BF790C">
        <w:rPr>
          <w:rFonts w:ascii="Times New Roman" w:hAnsi="Times New Roman" w:cs="Times New Roman"/>
          <w:sz w:val="24"/>
          <w:szCs w:val="24"/>
        </w:rPr>
        <w:t xml:space="preserve">, we find that </w:t>
      </w:r>
      <w:r w:rsidR="00ED7664" w:rsidRPr="00BF790C">
        <w:rPr>
          <w:rFonts w:ascii="Times New Roman" w:hAnsi="Times New Roman" w:cs="Times New Roman"/>
          <w:sz w:val="24"/>
          <w:szCs w:val="24"/>
        </w:rPr>
        <w:t xml:space="preserve">state level variables dominate the individual and firm level variables in determining retirement account sponsorship. Moreover, </w:t>
      </w:r>
      <w:r w:rsidR="0040652A" w:rsidRPr="00BF790C">
        <w:rPr>
          <w:rFonts w:ascii="Times New Roman" w:hAnsi="Times New Roman" w:cs="Times New Roman"/>
          <w:sz w:val="24"/>
          <w:szCs w:val="24"/>
        </w:rPr>
        <w:t xml:space="preserve">the intercept term was the strongest </w:t>
      </w:r>
      <w:r w:rsidR="00ED7664" w:rsidRPr="00BF790C">
        <w:rPr>
          <w:rFonts w:ascii="Times New Roman" w:hAnsi="Times New Roman" w:cs="Times New Roman"/>
          <w:sz w:val="24"/>
          <w:szCs w:val="24"/>
        </w:rPr>
        <w:t>driver</w:t>
      </w:r>
      <w:r w:rsidR="0040652A" w:rsidRPr="00BF790C">
        <w:rPr>
          <w:rFonts w:ascii="Times New Roman" w:hAnsi="Times New Roman" w:cs="Times New Roman"/>
          <w:sz w:val="24"/>
          <w:szCs w:val="24"/>
        </w:rPr>
        <w:t xml:space="preserve"> of </w:t>
      </w:r>
      <w:r w:rsidR="00ED7664" w:rsidRPr="00BF790C">
        <w:rPr>
          <w:rFonts w:ascii="Times New Roman" w:hAnsi="Times New Roman" w:cs="Times New Roman"/>
          <w:sz w:val="24"/>
          <w:szCs w:val="24"/>
        </w:rPr>
        <w:t xml:space="preserve">declining </w:t>
      </w:r>
      <w:r w:rsidR="0040652A" w:rsidRPr="00BF790C">
        <w:rPr>
          <w:rFonts w:ascii="Times New Roman" w:hAnsi="Times New Roman" w:cs="Times New Roman"/>
          <w:sz w:val="24"/>
          <w:szCs w:val="24"/>
        </w:rPr>
        <w:t>retirement account sponsorship</w:t>
      </w:r>
      <w:r w:rsidR="00ED7664" w:rsidRPr="00BF790C">
        <w:rPr>
          <w:rFonts w:ascii="Times New Roman" w:hAnsi="Times New Roman" w:cs="Times New Roman"/>
          <w:sz w:val="24"/>
          <w:szCs w:val="24"/>
        </w:rPr>
        <w:t>. The intercept term captures the mean likelihood of being sponsored for retirement at work, after controlling for observable factors. The negative intercept effect indicates</w:t>
      </w:r>
      <w:r w:rsidR="0040652A" w:rsidRPr="00BF790C">
        <w:rPr>
          <w:rFonts w:ascii="Times New Roman" w:hAnsi="Times New Roman" w:cs="Times New Roman"/>
          <w:sz w:val="24"/>
          <w:szCs w:val="24"/>
        </w:rPr>
        <w:t xml:space="preserve"> that the overall environment became less amenable to </w:t>
      </w:r>
      <w:r w:rsidR="00ED7664" w:rsidRPr="00BF790C">
        <w:rPr>
          <w:rFonts w:ascii="Times New Roman" w:hAnsi="Times New Roman" w:cs="Times New Roman"/>
          <w:sz w:val="24"/>
          <w:szCs w:val="24"/>
        </w:rPr>
        <w:t>sponsoring</w:t>
      </w:r>
      <w:r w:rsidR="0040652A" w:rsidRPr="00BF790C">
        <w:rPr>
          <w:rFonts w:ascii="Times New Roman" w:hAnsi="Times New Roman" w:cs="Times New Roman"/>
          <w:sz w:val="24"/>
          <w:szCs w:val="24"/>
        </w:rPr>
        <w:t xml:space="preserve"> retirement account</w:t>
      </w:r>
      <w:r w:rsidR="00ED7664" w:rsidRPr="00BF790C">
        <w:rPr>
          <w:rFonts w:ascii="Times New Roman" w:hAnsi="Times New Roman" w:cs="Times New Roman"/>
          <w:sz w:val="24"/>
          <w:szCs w:val="24"/>
        </w:rPr>
        <w:t>s at work</w:t>
      </w:r>
      <w:r w:rsidR="0040652A" w:rsidRPr="00BF790C">
        <w:rPr>
          <w:rFonts w:ascii="Times New Roman" w:hAnsi="Times New Roman" w:cs="Times New Roman"/>
          <w:sz w:val="24"/>
          <w:szCs w:val="24"/>
        </w:rPr>
        <w:t xml:space="preserve"> in 2010-2012</w:t>
      </w:r>
      <w:r w:rsidR="00ED7664" w:rsidRPr="00BF790C">
        <w:rPr>
          <w:rFonts w:ascii="Times New Roman" w:hAnsi="Times New Roman" w:cs="Times New Roman"/>
          <w:sz w:val="24"/>
          <w:szCs w:val="24"/>
        </w:rPr>
        <w:t>, and the strength of this</w:t>
      </w:r>
      <w:r w:rsidR="0040652A" w:rsidRPr="00BF790C">
        <w:rPr>
          <w:rFonts w:ascii="Times New Roman" w:hAnsi="Times New Roman" w:cs="Times New Roman"/>
          <w:sz w:val="24"/>
          <w:szCs w:val="24"/>
        </w:rPr>
        <w:t xml:space="preserve"> effect bolsters our argument that the labor market environment matters in </w:t>
      </w:r>
      <w:r w:rsidR="00A83366" w:rsidRPr="00BF790C">
        <w:rPr>
          <w:rFonts w:ascii="Times New Roman" w:hAnsi="Times New Roman" w:cs="Times New Roman"/>
          <w:sz w:val="24"/>
          <w:szCs w:val="24"/>
        </w:rPr>
        <w:t xml:space="preserve">explaining changes in </w:t>
      </w:r>
      <w:r w:rsidR="0040652A" w:rsidRPr="00BF790C">
        <w:rPr>
          <w:rFonts w:ascii="Times New Roman" w:hAnsi="Times New Roman" w:cs="Times New Roman"/>
          <w:sz w:val="24"/>
          <w:szCs w:val="24"/>
        </w:rPr>
        <w:t>retirement account</w:t>
      </w:r>
      <w:r w:rsidR="00A83366" w:rsidRPr="00BF790C">
        <w:rPr>
          <w:rFonts w:ascii="Times New Roman" w:hAnsi="Times New Roman" w:cs="Times New Roman"/>
          <w:sz w:val="24"/>
          <w:szCs w:val="24"/>
        </w:rPr>
        <w:t xml:space="preserve"> sponsorship rates</w:t>
      </w:r>
      <w:r w:rsidR="0040652A" w:rsidRPr="00BF790C">
        <w:rPr>
          <w:rFonts w:ascii="Times New Roman" w:hAnsi="Times New Roman" w:cs="Times New Roman"/>
          <w:sz w:val="24"/>
          <w:szCs w:val="24"/>
        </w:rPr>
        <w:t xml:space="preserve">. </w:t>
      </w:r>
    </w:p>
    <w:p w:rsidR="006C5CFC" w:rsidRDefault="00EA4B0C"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The</w:t>
      </w:r>
      <w:r w:rsidR="00AC143B" w:rsidRPr="00BF790C">
        <w:rPr>
          <w:rFonts w:ascii="Times New Roman" w:hAnsi="Times New Roman" w:cs="Times New Roman"/>
          <w:sz w:val="24"/>
          <w:szCs w:val="24"/>
        </w:rPr>
        <w:t xml:space="preserve"> detailed decomposition </w:t>
      </w:r>
      <w:r w:rsidRPr="00BF790C">
        <w:rPr>
          <w:rFonts w:ascii="Times New Roman" w:hAnsi="Times New Roman" w:cs="Times New Roman"/>
          <w:sz w:val="24"/>
          <w:szCs w:val="24"/>
        </w:rPr>
        <w:t xml:space="preserve">results are listed in table 5. </w:t>
      </w:r>
    </w:p>
    <w:p w:rsidR="006C5CFC" w:rsidRDefault="006C5CFC" w:rsidP="001F00BE">
      <w:pPr>
        <w:spacing w:line="480" w:lineRule="auto"/>
        <w:rPr>
          <w:rFonts w:ascii="Times New Roman" w:hAnsi="Times New Roman" w:cs="Times New Roman"/>
          <w:sz w:val="24"/>
          <w:szCs w:val="24"/>
        </w:rPr>
      </w:pPr>
      <w:r>
        <w:rPr>
          <w:rFonts w:ascii="Times New Roman" w:hAnsi="Times New Roman" w:cs="Times New Roman"/>
          <w:sz w:val="24"/>
          <w:szCs w:val="24"/>
        </w:rPr>
        <w:t>[Table 5 about here]</w:t>
      </w:r>
    </w:p>
    <w:p w:rsidR="00EA4B0C" w:rsidRPr="00BF790C" w:rsidRDefault="007E7962"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Looking at the endowment effect, we find that</w:t>
      </w:r>
      <w:r w:rsidR="00EA4B0C" w:rsidRPr="00BF790C">
        <w:rPr>
          <w:rFonts w:ascii="Times New Roman" w:hAnsi="Times New Roman" w:cs="Times New Roman"/>
          <w:sz w:val="24"/>
          <w:szCs w:val="24"/>
        </w:rPr>
        <w:t xml:space="preserve"> the rise in unemployment rates for young workers, the increase in inequality measured by the </w:t>
      </w:r>
      <w:proofErr w:type="spellStart"/>
      <w:r w:rsidR="00EA4B0C" w:rsidRPr="00BF790C">
        <w:rPr>
          <w:rFonts w:ascii="Times New Roman" w:hAnsi="Times New Roman" w:cs="Times New Roman"/>
          <w:sz w:val="24"/>
          <w:szCs w:val="24"/>
        </w:rPr>
        <w:t>Gini</w:t>
      </w:r>
      <w:proofErr w:type="spellEnd"/>
      <w:r w:rsidR="00EA4B0C" w:rsidRPr="00BF790C">
        <w:rPr>
          <w:rFonts w:ascii="Times New Roman" w:hAnsi="Times New Roman" w:cs="Times New Roman"/>
          <w:sz w:val="24"/>
          <w:szCs w:val="24"/>
        </w:rPr>
        <w:t xml:space="preserve"> index, the </w:t>
      </w:r>
      <w:r w:rsidR="00A01051" w:rsidRPr="00BF790C">
        <w:rPr>
          <w:rFonts w:ascii="Times New Roman" w:hAnsi="Times New Roman" w:cs="Times New Roman"/>
          <w:sz w:val="24"/>
          <w:szCs w:val="24"/>
        </w:rPr>
        <w:t>growing</w:t>
      </w:r>
      <w:r w:rsidR="00D73CE1" w:rsidRPr="00BF790C">
        <w:rPr>
          <w:rFonts w:ascii="Times New Roman" w:hAnsi="Times New Roman" w:cs="Times New Roman"/>
          <w:sz w:val="24"/>
          <w:szCs w:val="24"/>
        </w:rPr>
        <w:t xml:space="preserve"> employment at</w:t>
      </w:r>
      <w:r w:rsidR="00EA4B0C" w:rsidRPr="00BF790C">
        <w:rPr>
          <w:rFonts w:ascii="Times New Roman" w:hAnsi="Times New Roman" w:cs="Times New Roman"/>
          <w:sz w:val="24"/>
          <w:szCs w:val="24"/>
        </w:rPr>
        <w:t xml:space="preserve"> small firms</w:t>
      </w:r>
      <w:r w:rsidR="00A01051" w:rsidRPr="00BF790C">
        <w:rPr>
          <w:rFonts w:ascii="Times New Roman" w:hAnsi="Times New Roman" w:cs="Times New Roman"/>
          <w:sz w:val="24"/>
          <w:szCs w:val="24"/>
        </w:rPr>
        <w:t xml:space="preserve">, the peak in </w:t>
      </w:r>
      <w:r w:rsidR="00EA4B0C" w:rsidRPr="00BF790C">
        <w:rPr>
          <w:rFonts w:ascii="Times New Roman" w:hAnsi="Times New Roman" w:cs="Times New Roman"/>
          <w:sz w:val="24"/>
          <w:szCs w:val="24"/>
        </w:rPr>
        <w:t xml:space="preserve">the number of weeks unemployed, the decreasing coverage of unions, and the drop in manufacturing </w:t>
      </w:r>
      <w:r w:rsidR="00A01051" w:rsidRPr="00BF790C">
        <w:rPr>
          <w:rFonts w:ascii="Times New Roman" w:hAnsi="Times New Roman" w:cs="Times New Roman"/>
          <w:sz w:val="24"/>
          <w:szCs w:val="24"/>
        </w:rPr>
        <w:t xml:space="preserve">were the largest contributors </w:t>
      </w:r>
      <w:r w:rsidRPr="00BF790C">
        <w:rPr>
          <w:rFonts w:ascii="Times New Roman" w:hAnsi="Times New Roman" w:cs="Times New Roman"/>
          <w:sz w:val="24"/>
          <w:szCs w:val="24"/>
        </w:rPr>
        <w:t xml:space="preserve">to </w:t>
      </w:r>
      <w:r w:rsidR="00EA4B0C" w:rsidRPr="00BF790C">
        <w:rPr>
          <w:rFonts w:ascii="Times New Roman" w:hAnsi="Times New Roman" w:cs="Times New Roman"/>
          <w:sz w:val="24"/>
          <w:szCs w:val="24"/>
        </w:rPr>
        <w:t xml:space="preserve">a drop in the retirement account sponsorship rate. On the other hand, the aging workforce (as measured by the drop in the fraction of working age people who are under 40 years of age) and the rising unemployment of middle aged workers </w:t>
      </w:r>
      <w:r w:rsidR="00A01051" w:rsidRPr="00BF790C">
        <w:rPr>
          <w:rFonts w:ascii="Times New Roman" w:hAnsi="Times New Roman" w:cs="Times New Roman"/>
          <w:sz w:val="24"/>
          <w:szCs w:val="24"/>
        </w:rPr>
        <w:t>were the most significant forces pulling sponsorship rates up</w:t>
      </w:r>
      <w:r w:rsidR="00EA4B0C" w:rsidRPr="00BF790C">
        <w:rPr>
          <w:rFonts w:ascii="Times New Roman" w:hAnsi="Times New Roman" w:cs="Times New Roman"/>
          <w:sz w:val="24"/>
          <w:szCs w:val="24"/>
        </w:rPr>
        <w:t>.</w:t>
      </w:r>
      <w:r w:rsidR="00A01051" w:rsidRPr="00BF790C">
        <w:rPr>
          <w:rFonts w:ascii="Times New Roman" w:hAnsi="Times New Roman" w:cs="Times New Roman"/>
          <w:sz w:val="24"/>
          <w:szCs w:val="24"/>
        </w:rPr>
        <w:t xml:space="preserve"> Note that if we ignore the role of state level environmental factors, the biggest determinant</w:t>
      </w:r>
      <w:r w:rsidR="00114C5D" w:rsidRPr="00BF790C">
        <w:rPr>
          <w:rFonts w:ascii="Times New Roman" w:hAnsi="Times New Roman" w:cs="Times New Roman"/>
          <w:sz w:val="24"/>
          <w:szCs w:val="24"/>
        </w:rPr>
        <w:t>s</w:t>
      </w:r>
      <w:r w:rsidR="00A01051" w:rsidRPr="00BF790C">
        <w:rPr>
          <w:rFonts w:ascii="Times New Roman" w:hAnsi="Times New Roman" w:cs="Times New Roman"/>
          <w:sz w:val="24"/>
          <w:szCs w:val="24"/>
        </w:rPr>
        <w:t xml:space="preserve"> of a drop in sponsorship rate </w:t>
      </w:r>
      <w:r w:rsidR="00114C5D" w:rsidRPr="00BF790C">
        <w:rPr>
          <w:rFonts w:ascii="Times New Roman" w:hAnsi="Times New Roman" w:cs="Times New Roman"/>
          <w:sz w:val="24"/>
          <w:szCs w:val="24"/>
        </w:rPr>
        <w:t>are</w:t>
      </w:r>
      <w:r w:rsidR="00A01051" w:rsidRPr="00BF790C">
        <w:rPr>
          <w:rFonts w:ascii="Times New Roman" w:hAnsi="Times New Roman" w:cs="Times New Roman"/>
          <w:sz w:val="24"/>
          <w:szCs w:val="24"/>
        </w:rPr>
        <w:t xml:space="preserve"> </w:t>
      </w:r>
      <w:r w:rsidR="00114C5D" w:rsidRPr="00BF790C">
        <w:rPr>
          <w:rFonts w:ascii="Times New Roman" w:hAnsi="Times New Roman" w:cs="Times New Roman"/>
          <w:sz w:val="24"/>
          <w:szCs w:val="24"/>
        </w:rPr>
        <w:t xml:space="preserve">firm size and industrial composition; this is the finding in Even and </w:t>
      </w:r>
      <w:proofErr w:type="spellStart"/>
      <w:r w:rsidR="00114C5D" w:rsidRPr="00BF790C">
        <w:rPr>
          <w:rFonts w:ascii="Times New Roman" w:hAnsi="Times New Roman" w:cs="Times New Roman"/>
          <w:sz w:val="24"/>
          <w:szCs w:val="24"/>
        </w:rPr>
        <w:t>MacPherson’s</w:t>
      </w:r>
      <w:proofErr w:type="spellEnd"/>
      <w:r w:rsidR="00114C5D" w:rsidRPr="00BF790C">
        <w:rPr>
          <w:rFonts w:ascii="Times New Roman" w:hAnsi="Times New Roman" w:cs="Times New Roman"/>
          <w:sz w:val="24"/>
          <w:szCs w:val="24"/>
        </w:rPr>
        <w:t xml:space="preserve"> work.  </w:t>
      </w:r>
    </w:p>
    <w:p w:rsidR="007E7962" w:rsidRPr="00BF790C" w:rsidRDefault="006C0553"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T</w:t>
      </w:r>
      <w:r w:rsidR="00114C5D" w:rsidRPr="00BF790C">
        <w:rPr>
          <w:rFonts w:ascii="Times New Roman" w:hAnsi="Times New Roman" w:cs="Times New Roman"/>
          <w:sz w:val="24"/>
          <w:szCs w:val="24"/>
        </w:rPr>
        <w:t xml:space="preserve">he strongest factors predicting a drop in sponsorship rates are the intercept term and the increased unemployment among middle aged workers. On the other hand, the aging of the working age population </w:t>
      </w:r>
      <w:r w:rsidR="00D60DB8" w:rsidRPr="00BF790C">
        <w:rPr>
          <w:rFonts w:ascii="Times New Roman" w:hAnsi="Times New Roman" w:cs="Times New Roman"/>
          <w:sz w:val="24"/>
          <w:szCs w:val="24"/>
        </w:rPr>
        <w:t xml:space="preserve">and the growing employment in small firms </w:t>
      </w:r>
      <w:r w:rsidR="00114C5D" w:rsidRPr="00BF790C">
        <w:rPr>
          <w:rFonts w:ascii="Times New Roman" w:hAnsi="Times New Roman" w:cs="Times New Roman"/>
          <w:sz w:val="24"/>
          <w:szCs w:val="24"/>
        </w:rPr>
        <w:t>had the biggest positive impacts on sponsorship rates. Note that the unemployment rate of middle aged workers has opposite endowment and coefficient effects. The endowment effect states that when there are more unemployed middle aged workers, firms are more likely to offer retirement account</w:t>
      </w:r>
      <w:r w:rsidR="00D60DB8" w:rsidRPr="00BF790C">
        <w:rPr>
          <w:rFonts w:ascii="Times New Roman" w:hAnsi="Times New Roman" w:cs="Times New Roman"/>
          <w:sz w:val="24"/>
          <w:szCs w:val="24"/>
        </w:rPr>
        <w:t>s to their workers</w:t>
      </w:r>
      <w:r w:rsidR="00114C5D" w:rsidRPr="00BF790C">
        <w:rPr>
          <w:rFonts w:ascii="Times New Roman" w:hAnsi="Times New Roman" w:cs="Times New Roman"/>
          <w:sz w:val="24"/>
          <w:szCs w:val="24"/>
        </w:rPr>
        <w:t xml:space="preserve">. On the other hand, the willingness of firms to </w:t>
      </w:r>
      <w:r w:rsidR="00B4378A" w:rsidRPr="00BF790C">
        <w:rPr>
          <w:rFonts w:ascii="Times New Roman" w:hAnsi="Times New Roman" w:cs="Times New Roman"/>
          <w:sz w:val="24"/>
          <w:szCs w:val="24"/>
        </w:rPr>
        <w:t xml:space="preserve">provide retirement plans </w:t>
      </w:r>
      <w:r w:rsidR="00114C5D" w:rsidRPr="00BF790C">
        <w:rPr>
          <w:rFonts w:ascii="Times New Roman" w:hAnsi="Times New Roman" w:cs="Times New Roman"/>
          <w:sz w:val="24"/>
          <w:szCs w:val="24"/>
        </w:rPr>
        <w:t xml:space="preserve">when middle age unemployment rises has </w:t>
      </w:r>
      <w:r w:rsidR="00B4378A" w:rsidRPr="00BF790C">
        <w:rPr>
          <w:rFonts w:ascii="Times New Roman" w:hAnsi="Times New Roman" w:cs="Times New Roman"/>
          <w:sz w:val="24"/>
          <w:szCs w:val="24"/>
        </w:rPr>
        <w:t xml:space="preserve">diminished </w:t>
      </w:r>
      <w:r w:rsidR="00114C5D" w:rsidRPr="00BF790C">
        <w:rPr>
          <w:rFonts w:ascii="Times New Roman" w:hAnsi="Times New Roman" w:cs="Times New Roman"/>
          <w:sz w:val="24"/>
          <w:szCs w:val="24"/>
        </w:rPr>
        <w:t xml:space="preserve">over </w:t>
      </w:r>
      <w:r w:rsidR="00B4378A" w:rsidRPr="00BF790C">
        <w:rPr>
          <w:rFonts w:ascii="Times New Roman" w:hAnsi="Times New Roman" w:cs="Times New Roman"/>
          <w:sz w:val="24"/>
          <w:szCs w:val="24"/>
        </w:rPr>
        <w:t>time.</w:t>
      </w:r>
      <w:r w:rsidR="00114C5D" w:rsidRPr="00BF790C">
        <w:rPr>
          <w:rFonts w:ascii="Times New Roman" w:hAnsi="Times New Roman" w:cs="Times New Roman"/>
          <w:sz w:val="24"/>
          <w:szCs w:val="24"/>
        </w:rPr>
        <w:t xml:space="preserve"> Likewise, the impact of </w:t>
      </w:r>
      <w:r w:rsidR="00D60DB8" w:rsidRPr="00BF790C">
        <w:rPr>
          <w:rFonts w:ascii="Times New Roman" w:hAnsi="Times New Roman" w:cs="Times New Roman"/>
          <w:sz w:val="24"/>
          <w:szCs w:val="24"/>
        </w:rPr>
        <w:t xml:space="preserve">the aging the workforce </w:t>
      </w:r>
      <w:r w:rsidR="00B4378A" w:rsidRPr="00BF790C">
        <w:rPr>
          <w:rFonts w:ascii="Times New Roman" w:hAnsi="Times New Roman" w:cs="Times New Roman"/>
          <w:sz w:val="24"/>
          <w:szCs w:val="24"/>
        </w:rPr>
        <w:t xml:space="preserve">operates </w:t>
      </w:r>
      <w:r w:rsidR="00D60DB8" w:rsidRPr="00BF790C">
        <w:rPr>
          <w:rFonts w:ascii="Times New Roman" w:hAnsi="Times New Roman" w:cs="Times New Roman"/>
          <w:sz w:val="24"/>
          <w:szCs w:val="24"/>
        </w:rPr>
        <w:t xml:space="preserve">differently through the endowment and the coefficient effects. According to the endowment effect, when there are more older workers, firms are more likely to offer retirement accounts </w:t>
      </w:r>
      <w:r w:rsidR="00B4378A" w:rsidRPr="00BF790C">
        <w:rPr>
          <w:rFonts w:ascii="Times New Roman" w:hAnsi="Times New Roman" w:cs="Times New Roman"/>
          <w:sz w:val="24"/>
          <w:szCs w:val="24"/>
        </w:rPr>
        <w:t xml:space="preserve">presumably </w:t>
      </w:r>
      <w:r w:rsidR="00D60DB8" w:rsidRPr="00BF790C">
        <w:rPr>
          <w:rFonts w:ascii="Times New Roman" w:hAnsi="Times New Roman" w:cs="Times New Roman"/>
          <w:sz w:val="24"/>
          <w:szCs w:val="24"/>
        </w:rPr>
        <w:t>because older workers demand them. But in the coefficient effect, we see that firms have also become more likely to offer their young workers retirement accounts. Finally, the coefficient effect reveals that small firms have become more likely to sponsor retirement</w:t>
      </w:r>
      <w:r w:rsidR="00B4378A" w:rsidRPr="00BF790C">
        <w:rPr>
          <w:rFonts w:ascii="Times New Roman" w:hAnsi="Times New Roman" w:cs="Times New Roman"/>
          <w:sz w:val="24"/>
          <w:szCs w:val="24"/>
        </w:rPr>
        <w:t xml:space="preserve"> plans</w:t>
      </w:r>
      <w:r w:rsidR="00D60DB8" w:rsidRPr="00BF790C">
        <w:rPr>
          <w:rFonts w:ascii="Times New Roman" w:hAnsi="Times New Roman" w:cs="Times New Roman"/>
          <w:sz w:val="24"/>
          <w:szCs w:val="24"/>
        </w:rPr>
        <w:t xml:space="preserve">. </w:t>
      </w:r>
    </w:p>
    <w:p w:rsidR="00D60DB8" w:rsidRPr="00BF790C" w:rsidRDefault="00D60DB8"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Finally, the interaction effect finds that the strongest determinants of a drop in sponsorship rates are the rise in middle age unemployment and the aging of the working age population, while the growing employment in small firms predicts the biggest increase in sponsorship rates.</w:t>
      </w:r>
    </w:p>
    <w:p w:rsidR="00554B46" w:rsidRPr="00BF790C" w:rsidRDefault="00554B46" w:rsidP="001F00BE">
      <w:pPr>
        <w:spacing w:after="0" w:line="480" w:lineRule="auto"/>
        <w:rPr>
          <w:rFonts w:ascii="Times New Roman" w:hAnsi="Times New Roman" w:cs="Times New Roman"/>
          <w:sz w:val="24"/>
          <w:szCs w:val="24"/>
        </w:rPr>
      </w:pPr>
    </w:p>
    <w:p w:rsidR="00554B46" w:rsidRPr="00BF790C" w:rsidRDefault="00BE1A6B" w:rsidP="001F00BE">
      <w:pPr>
        <w:spacing w:after="0" w:line="480" w:lineRule="auto"/>
        <w:rPr>
          <w:rFonts w:ascii="Times New Roman" w:hAnsi="Times New Roman" w:cs="Times New Roman"/>
          <w:b/>
          <w:sz w:val="24"/>
          <w:szCs w:val="24"/>
        </w:rPr>
      </w:pPr>
      <w:r w:rsidRPr="00BF790C">
        <w:rPr>
          <w:rFonts w:ascii="Times New Roman" w:hAnsi="Times New Roman" w:cs="Times New Roman"/>
          <w:b/>
          <w:sz w:val="24"/>
          <w:szCs w:val="24"/>
        </w:rPr>
        <w:t>ROBUSTNESS CHECKS</w:t>
      </w:r>
    </w:p>
    <w:p w:rsidR="001B46DC" w:rsidRDefault="006C0553" w:rsidP="001F00BE">
      <w:pPr>
        <w:spacing w:after="0" w:line="480" w:lineRule="auto"/>
        <w:rPr>
          <w:rFonts w:ascii="Times New Roman" w:hAnsi="Times New Roman" w:cs="Times New Roman"/>
          <w:sz w:val="24"/>
          <w:szCs w:val="24"/>
        </w:rPr>
      </w:pPr>
      <w:r w:rsidRPr="00BF790C">
        <w:rPr>
          <w:rFonts w:ascii="Times New Roman" w:hAnsi="Times New Roman" w:cs="Times New Roman"/>
          <w:sz w:val="24"/>
          <w:szCs w:val="24"/>
        </w:rPr>
        <w:t>To</w:t>
      </w:r>
      <w:r w:rsidR="001B46DC" w:rsidRPr="00BF790C">
        <w:rPr>
          <w:rFonts w:ascii="Times New Roman" w:hAnsi="Times New Roman" w:cs="Times New Roman"/>
          <w:sz w:val="24"/>
          <w:szCs w:val="24"/>
        </w:rPr>
        <w:t xml:space="preserve"> ensure that our results are robust, we </w:t>
      </w:r>
      <w:r w:rsidR="00225AA3" w:rsidRPr="00BF790C">
        <w:rPr>
          <w:rFonts w:ascii="Times New Roman" w:hAnsi="Times New Roman" w:cs="Times New Roman"/>
          <w:sz w:val="24"/>
          <w:szCs w:val="24"/>
        </w:rPr>
        <w:t xml:space="preserve">shift the starting period of the analysis to 2001-2003. </w:t>
      </w:r>
      <w:r w:rsidR="00D4461F" w:rsidRPr="00BF790C">
        <w:rPr>
          <w:rFonts w:ascii="Times New Roman" w:hAnsi="Times New Roman" w:cs="Times New Roman"/>
          <w:sz w:val="24"/>
          <w:szCs w:val="24"/>
        </w:rPr>
        <w:t>A</w:t>
      </w:r>
      <w:r w:rsidR="00B27DF2" w:rsidRPr="00BF790C">
        <w:rPr>
          <w:rFonts w:ascii="Times New Roman" w:hAnsi="Times New Roman" w:cs="Times New Roman"/>
          <w:sz w:val="24"/>
          <w:szCs w:val="24"/>
        </w:rPr>
        <w:t>lthough the drop in sponsorship rates is smaller over this shortened time period</w:t>
      </w:r>
      <w:r w:rsidR="00F13786" w:rsidRPr="00BF790C">
        <w:rPr>
          <w:rFonts w:ascii="Times New Roman" w:hAnsi="Times New Roman" w:cs="Times New Roman"/>
          <w:sz w:val="24"/>
          <w:szCs w:val="24"/>
        </w:rPr>
        <w:t xml:space="preserve"> (7 percentage points)</w:t>
      </w:r>
      <w:r w:rsidR="00B27DF2" w:rsidRPr="00BF790C">
        <w:rPr>
          <w:rFonts w:ascii="Times New Roman" w:hAnsi="Times New Roman" w:cs="Times New Roman"/>
          <w:sz w:val="24"/>
          <w:szCs w:val="24"/>
        </w:rPr>
        <w:t>, the impacts of the state level and individual and firm level variables are similar</w:t>
      </w:r>
      <w:r w:rsidR="00D4461F" w:rsidRPr="00BF790C">
        <w:rPr>
          <w:rFonts w:ascii="Times New Roman" w:hAnsi="Times New Roman" w:cs="Times New Roman"/>
          <w:sz w:val="24"/>
          <w:szCs w:val="24"/>
        </w:rPr>
        <w:t>. This</w:t>
      </w:r>
      <w:r w:rsidR="00B27DF2" w:rsidRPr="00BF790C">
        <w:rPr>
          <w:rFonts w:ascii="Times New Roman" w:hAnsi="Times New Roman" w:cs="Times New Roman"/>
          <w:sz w:val="24"/>
          <w:szCs w:val="24"/>
        </w:rPr>
        <w:t xml:space="preserve"> indicates that </w:t>
      </w:r>
      <w:r w:rsidR="00225AA3" w:rsidRPr="00BF790C">
        <w:rPr>
          <w:rFonts w:ascii="Times New Roman" w:hAnsi="Times New Roman" w:cs="Times New Roman"/>
          <w:sz w:val="24"/>
          <w:szCs w:val="24"/>
        </w:rPr>
        <w:t xml:space="preserve">our findings are robust to a shift in the underlying time period. </w:t>
      </w:r>
    </w:p>
    <w:p w:rsidR="006C5CFC" w:rsidRDefault="006C5CFC" w:rsidP="001F00BE">
      <w:pPr>
        <w:spacing w:after="0" w:line="480" w:lineRule="auto"/>
        <w:rPr>
          <w:rFonts w:ascii="Times New Roman" w:hAnsi="Times New Roman" w:cs="Times New Roman"/>
          <w:sz w:val="24"/>
          <w:szCs w:val="24"/>
        </w:rPr>
      </w:pPr>
    </w:p>
    <w:p w:rsidR="006C5CFC" w:rsidRPr="00BF790C" w:rsidRDefault="006C5CFC" w:rsidP="001F00BE">
      <w:pPr>
        <w:spacing w:after="0" w:line="480" w:lineRule="auto"/>
        <w:rPr>
          <w:rFonts w:ascii="Times New Roman" w:hAnsi="Times New Roman" w:cs="Times New Roman"/>
          <w:sz w:val="24"/>
          <w:szCs w:val="24"/>
        </w:rPr>
      </w:pPr>
      <w:r>
        <w:rPr>
          <w:rFonts w:ascii="Times New Roman" w:hAnsi="Times New Roman" w:cs="Times New Roman"/>
          <w:sz w:val="24"/>
          <w:szCs w:val="24"/>
        </w:rPr>
        <w:t>[Table 5b about here]</w:t>
      </w:r>
    </w:p>
    <w:p w:rsidR="00F13786" w:rsidRPr="00BF790C" w:rsidRDefault="00F13786" w:rsidP="001F00BE">
      <w:pPr>
        <w:spacing w:after="0" w:line="480" w:lineRule="auto"/>
        <w:rPr>
          <w:rFonts w:ascii="Times New Roman" w:hAnsi="Times New Roman" w:cs="Times New Roman"/>
          <w:sz w:val="24"/>
          <w:szCs w:val="24"/>
        </w:rPr>
      </w:pPr>
    </w:p>
    <w:p w:rsidR="00554B46" w:rsidRPr="00BF790C" w:rsidRDefault="006C0553" w:rsidP="001F00BE">
      <w:pPr>
        <w:spacing w:after="0" w:line="480" w:lineRule="auto"/>
        <w:rPr>
          <w:rFonts w:ascii="Times New Roman" w:hAnsi="Times New Roman" w:cs="Times New Roman"/>
          <w:sz w:val="24"/>
          <w:szCs w:val="24"/>
        </w:rPr>
      </w:pPr>
      <w:r w:rsidRPr="00BF790C">
        <w:rPr>
          <w:rFonts w:ascii="Times New Roman" w:hAnsi="Times New Roman" w:cs="Times New Roman"/>
          <w:sz w:val="24"/>
          <w:szCs w:val="24"/>
        </w:rPr>
        <w:t xml:space="preserve">One concern is that </w:t>
      </w:r>
      <w:r w:rsidR="00D4461F" w:rsidRPr="00BF790C">
        <w:rPr>
          <w:rFonts w:ascii="Times New Roman" w:hAnsi="Times New Roman" w:cs="Times New Roman"/>
          <w:sz w:val="24"/>
          <w:szCs w:val="24"/>
        </w:rPr>
        <w:t xml:space="preserve">the standard errors </w:t>
      </w:r>
      <w:r w:rsidR="00442BB2" w:rsidRPr="00BF790C">
        <w:rPr>
          <w:rFonts w:ascii="Times New Roman" w:hAnsi="Times New Roman" w:cs="Times New Roman"/>
          <w:sz w:val="24"/>
          <w:szCs w:val="24"/>
        </w:rPr>
        <w:t xml:space="preserve">of the state level </w:t>
      </w:r>
      <w:proofErr w:type="spellStart"/>
      <w:r w:rsidR="0068167F" w:rsidRPr="00BF790C">
        <w:rPr>
          <w:rFonts w:ascii="Times New Roman" w:hAnsi="Times New Roman" w:cs="Times New Roman"/>
          <w:sz w:val="24"/>
          <w:szCs w:val="24"/>
        </w:rPr>
        <w:t>probit</w:t>
      </w:r>
      <w:proofErr w:type="spellEnd"/>
      <w:r w:rsidR="0068167F" w:rsidRPr="00BF790C">
        <w:rPr>
          <w:rFonts w:ascii="Times New Roman" w:hAnsi="Times New Roman" w:cs="Times New Roman"/>
          <w:sz w:val="24"/>
          <w:szCs w:val="24"/>
        </w:rPr>
        <w:t xml:space="preserve"> </w:t>
      </w:r>
      <w:r w:rsidR="00442BB2" w:rsidRPr="00BF790C">
        <w:rPr>
          <w:rFonts w:ascii="Times New Roman" w:hAnsi="Times New Roman" w:cs="Times New Roman"/>
          <w:sz w:val="24"/>
          <w:szCs w:val="24"/>
        </w:rPr>
        <w:t xml:space="preserve">coefficients </w:t>
      </w:r>
      <w:r w:rsidR="00D4461F" w:rsidRPr="00BF790C">
        <w:rPr>
          <w:rFonts w:ascii="Times New Roman" w:hAnsi="Times New Roman" w:cs="Times New Roman"/>
          <w:sz w:val="24"/>
          <w:szCs w:val="24"/>
        </w:rPr>
        <w:t xml:space="preserve">are biased downward because of </w:t>
      </w:r>
      <w:r w:rsidRPr="00BF790C">
        <w:rPr>
          <w:rFonts w:ascii="Times New Roman" w:hAnsi="Times New Roman" w:cs="Times New Roman"/>
          <w:sz w:val="24"/>
          <w:szCs w:val="24"/>
        </w:rPr>
        <w:t xml:space="preserve">data </w:t>
      </w:r>
      <w:r w:rsidR="00D4461F" w:rsidRPr="00BF790C">
        <w:rPr>
          <w:rFonts w:ascii="Times New Roman" w:hAnsi="Times New Roman" w:cs="Times New Roman"/>
          <w:sz w:val="24"/>
          <w:szCs w:val="24"/>
        </w:rPr>
        <w:t xml:space="preserve">clustering at the state level. </w:t>
      </w:r>
      <w:r w:rsidR="00AD7908" w:rsidRPr="00BF790C">
        <w:rPr>
          <w:rFonts w:ascii="Times New Roman" w:hAnsi="Times New Roman" w:cs="Times New Roman"/>
          <w:sz w:val="24"/>
          <w:szCs w:val="24"/>
        </w:rPr>
        <w:t xml:space="preserve">The logic for this </w:t>
      </w:r>
      <w:r w:rsidR="00D4461F" w:rsidRPr="00BF790C">
        <w:rPr>
          <w:rFonts w:ascii="Times New Roman" w:hAnsi="Times New Roman" w:cs="Times New Roman"/>
          <w:sz w:val="24"/>
          <w:szCs w:val="24"/>
        </w:rPr>
        <w:t xml:space="preserve">type of bias </w:t>
      </w:r>
      <w:r w:rsidR="00AD7908" w:rsidRPr="00BF790C">
        <w:rPr>
          <w:rFonts w:ascii="Times New Roman" w:hAnsi="Times New Roman" w:cs="Times New Roman"/>
          <w:sz w:val="24"/>
          <w:szCs w:val="24"/>
        </w:rPr>
        <w:t>is that</w:t>
      </w:r>
      <w:r w:rsidR="00554B46" w:rsidRPr="00BF790C">
        <w:rPr>
          <w:rFonts w:ascii="Times New Roman" w:hAnsi="Times New Roman" w:cs="Times New Roman"/>
          <w:sz w:val="24"/>
          <w:szCs w:val="24"/>
        </w:rPr>
        <w:t xml:space="preserve"> </w:t>
      </w:r>
      <w:r w:rsidR="001E0CBA" w:rsidRPr="00BF790C">
        <w:rPr>
          <w:rFonts w:ascii="Times New Roman" w:hAnsi="Times New Roman" w:cs="Times New Roman"/>
          <w:sz w:val="24"/>
          <w:szCs w:val="24"/>
        </w:rPr>
        <w:t>each state level variable</w:t>
      </w:r>
      <w:r w:rsidR="00554B46" w:rsidRPr="00BF790C">
        <w:rPr>
          <w:rFonts w:ascii="Times New Roman" w:hAnsi="Times New Roman" w:cs="Times New Roman"/>
          <w:sz w:val="24"/>
          <w:szCs w:val="24"/>
        </w:rPr>
        <w:t xml:space="preserve"> </w:t>
      </w:r>
      <w:r w:rsidR="00D4461F" w:rsidRPr="00BF790C">
        <w:rPr>
          <w:rFonts w:ascii="Times New Roman" w:hAnsi="Times New Roman" w:cs="Times New Roman"/>
          <w:sz w:val="24"/>
          <w:szCs w:val="24"/>
        </w:rPr>
        <w:t>uses the same</w:t>
      </w:r>
      <w:r w:rsidR="00554B46" w:rsidRPr="00BF790C">
        <w:rPr>
          <w:rFonts w:ascii="Times New Roman" w:hAnsi="Times New Roman" w:cs="Times New Roman"/>
          <w:sz w:val="24"/>
          <w:szCs w:val="24"/>
        </w:rPr>
        <w:t xml:space="preserve"> information for all observations in the state, as opposed to other variables that vary for each individual in the state. </w:t>
      </w:r>
      <w:r w:rsidR="00D4461F" w:rsidRPr="00BF790C">
        <w:rPr>
          <w:rFonts w:ascii="Times New Roman" w:hAnsi="Times New Roman" w:cs="Times New Roman"/>
          <w:sz w:val="24"/>
          <w:szCs w:val="24"/>
        </w:rPr>
        <w:t xml:space="preserve">If the standard errors </w:t>
      </w:r>
      <w:r w:rsidR="00442BB2" w:rsidRPr="00BF790C">
        <w:rPr>
          <w:rFonts w:ascii="Times New Roman" w:hAnsi="Times New Roman" w:cs="Times New Roman"/>
          <w:sz w:val="24"/>
          <w:szCs w:val="24"/>
        </w:rPr>
        <w:t xml:space="preserve">of the state level </w:t>
      </w:r>
      <w:proofErr w:type="spellStart"/>
      <w:r w:rsidR="0068167F" w:rsidRPr="00BF790C">
        <w:rPr>
          <w:rFonts w:ascii="Times New Roman" w:hAnsi="Times New Roman" w:cs="Times New Roman"/>
          <w:sz w:val="24"/>
          <w:szCs w:val="24"/>
        </w:rPr>
        <w:t>probit</w:t>
      </w:r>
      <w:proofErr w:type="spellEnd"/>
      <w:r w:rsidR="0068167F" w:rsidRPr="00BF790C">
        <w:rPr>
          <w:rFonts w:ascii="Times New Roman" w:hAnsi="Times New Roman" w:cs="Times New Roman"/>
          <w:sz w:val="24"/>
          <w:szCs w:val="24"/>
        </w:rPr>
        <w:t xml:space="preserve"> </w:t>
      </w:r>
      <w:r w:rsidR="00442BB2" w:rsidRPr="00BF790C">
        <w:rPr>
          <w:rFonts w:ascii="Times New Roman" w:hAnsi="Times New Roman" w:cs="Times New Roman"/>
          <w:sz w:val="24"/>
          <w:szCs w:val="24"/>
        </w:rPr>
        <w:t>coefficients are biased downward, those</w:t>
      </w:r>
      <w:r w:rsidR="00D4461F" w:rsidRPr="00BF790C">
        <w:rPr>
          <w:rFonts w:ascii="Times New Roman" w:hAnsi="Times New Roman" w:cs="Times New Roman"/>
          <w:sz w:val="24"/>
          <w:szCs w:val="24"/>
        </w:rPr>
        <w:t xml:space="preserve"> </w:t>
      </w:r>
      <w:proofErr w:type="spellStart"/>
      <w:r w:rsidR="00D4461F" w:rsidRPr="00BF790C">
        <w:rPr>
          <w:rFonts w:ascii="Times New Roman" w:hAnsi="Times New Roman" w:cs="Times New Roman"/>
          <w:sz w:val="24"/>
          <w:szCs w:val="24"/>
        </w:rPr>
        <w:t>probit</w:t>
      </w:r>
      <w:proofErr w:type="spellEnd"/>
      <w:r w:rsidR="00D4461F" w:rsidRPr="00BF790C">
        <w:rPr>
          <w:rFonts w:ascii="Times New Roman" w:hAnsi="Times New Roman" w:cs="Times New Roman"/>
          <w:sz w:val="24"/>
          <w:szCs w:val="24"/>
        </w:rPr>
        <w:t xml:space="preserve"> coefficients appear to be significant when in reality they may not be</w:t>
      </w:r>
      <w:r w:rsidR="00D4461F" w:rsidRPr="00BF790C">
        <w:rPr>
          <w:rStyle w:val="FootnoteReference"/>
          <w:rFonts w:ascii="Times New Roman" w:hAnsi="Times New Roman" w:cs="Times New Roman"/>
          <w:sz w:val="24"/>
          <w:szCs w:val="24"/>
        </w:rPr>
        <w:footnoteReference w:id="14"/>
      </w:r>
      <w:r w:rsidR="00D4461F" w:rsidRPr="00BF790C">
        <w:rPr>
          <w:rFonts w:ascii="Times New Roman" w:hAnsi="Times New Roman" w:cs="Times New Roman"/>
          <w:sz w:val="24"/>
          <w:szCs w:val="24"/>
        </w:rPr>
        <w:t xml:space="preserve">. </w:t>
      </w:r>
      <w:r w:rsidR="00554B46" w:rsidRPr="00BF790C">
        <w:rPr>
          <w:rFonts w:ascii="Times New Roman" w:hAnsi="Times New Roman" w:cs="Times New Roman"/>
          <w:sz w:val="24"/>
          <w:szCs w:val="24"/>
        </w:rPr>
        <w:t xml:space="preserve">We corrected for this </w:t>
      </w:r>
      <w:r w:rsidR="001E0CBA" w:rsidRPr="00BF790C">
        <w:rPr>
          <w:rFonts w:ascii="Times New Roman" w:hAnsi="Times New Roman" w:cs="Times New Roman"/>
          <w:sz w:val="24"/>
          <w:szCs w:val="24"/>
        </w:rPr>
        <w:t xml:space="preserve">bias </w:t>
      </w:r>
      <w:r w:rsidR="00554B46" w:rsidRPr="00BF790C">
        <w:rPr>
          <w:rFonts w:ascii="Times New Roman" w:hAnsi="Times New Roman" w:cs="Times New Roman"/>
          <w:sz w:val="24"/>
          <w:szCs w:val="24"/>
        </w:rPr>
        <w:t xml:space="preserve">when we ran the </w:t>
      </w:r>
      <w:proofErr w:type="spellStart"/>
      <w:r w:rsidR="00554B46" w:rsidRPr="00BF790C">
        <w:rPr>
          <w:rFonts w:ascii="Times New Roman" w:hAnsi="Times New Roman" w:cs="Times New Roman"/>
          <w:sz w:val="24"/>
          <w:szCs w:val="24"/>
        </w:rPr>
        <w:t>probit</w:t>
      </w:r>
      <w:proofErr w:type="spellEnd"/>
      <w:r w:rsidR="00554B46" w:rsidRPr="00BF790C">
        <w:rPr>
          <w:rFonts w:ascii="Times New Roman" w:hAnsi="Times New Roman" w:cs="Times New Roman"/>
          <w:sz w:val="24"/>
          <w:szCs w:val="24"/>
        </w:rPr>
        <w:t xml:space="preserve"> estimation</w:t>
      </w:r>
      <w:r w:rsidR="001E0CBA" w:rsidRPr="00BF790C">
        <w:rPr>
          <w:rFonts w:ascii="Times New Roman" w:hAnsi="Times New Roman" w:cs="Times New Roman"/>
          <w:sz w:val="24"/>
          <w:szCs w:val="24"/>
        </w:rPr>
        <w:t xml:space="preserve"> by</w:t>
      </w:r>
      <w:r w:rsidR="00013204" w:rsidRPr="00BF790C">
        <w:rPr>
          <w:rFonts w:ascii="Times New Roman" w:hAnsi="Times New Roman" w:cs="Times New Roman"/>
          <w:sz w:val="24"/>
          <w:szCs w:val="24"/>
        </w:rPr>
        <w:t xml:space="preserve"> calculating Huber-White Standard E</w:t>
      </w:r>
      <w:r w:rsidR="00554B46" w:rsidRPr="00BF790C">
        <w:rPr>
          <w:rFonts w:ascii="Times New Roman" w:hAnsi="Times New Roman" w:cs="Times New Roman"/>
          <w:sz w:val="24"/>
          <w:szCs w:val="24"/>
        </w:rPr>
        <w:t>rrors</w:t>
      </w:r>
      <w:r w:rsidR="00994AEB" w:rsidRPr="00BF790C">
        <w:rPr>
          <w:rFonts w:ascii="Times New Roman" w:hAnsi="Times New Roman" w:cs="Times New Roman"/>
          <w:sz w:val="24"/>
          <w:szCs w:val="24"/>
        </w:rPr>
        <w:t xml:space="preserve">, thereby </w:t>
      </w:r>
      <w:r w:rsidR="0068167F" w:rsidRPr="00BF790C">
        <w:rPr>
          <w:rFonts w:ascii="Times New Roman" w:hAnsi="Times New Roman" w:cs="Times New Roman"/>
          <w:sz w:val="24"/>
          <w:szCs w:val="24"/>
        </w:rPr>
        <w:t>adjusting</w:t>
      </w:r>
      <w:r w:rsidR="00554B46" w:rsidRPr="00BF790C">
        <w:rPr>
          <w:rFonts w:ascii="Times New Roman" w:hAnsi="Times New Roman" w:cs="Times New Roman"/>
          <w:sz w:val="24"/>
          <w:szCs w:val="24"/>
        </w:rPr>
        <w:t xml:space="preserve"> for any correlation of the error terms within states. However, as discussed in Wool</w:t>
      </w:r>
      <w:r w:rsidR="0077582D" w:rsidRPr="00BF790C">
        <w:rPr>
          <w:rFonts w:ascii="Times New Roman" w:hAnsi="Times New Roman" w:cs="Times New Roman"/>
          <w:sz w:val="24"/>
          <w:szCs w:val="24"/>
        </w:rPr>
        <w:t>d</w:t>
      </w:r>
      <w:r w:rsidR="00345A47" w:rsidRPr="00BF790C">
        <w:rPr>
          <w:rFonts w:ascii="Times New Roman" w:hAnsi="Times New Roman" w:cs="Times New Roman"/>
          <w:sz w:val="24"/>
          <w:szCs w:val="24"/>
        </w:rPr>
        <w:t>ridge (2003</w:t>
      </w:r>
      <w:r w:rsidR="00554B46" w:rsidRPr="00BF790C">
        <w:rPr>
          <w:rFonts w:ascii="Times New Roman" w:hAnsi="Times New Roman" w:cs="Times New Roman"/>
          <w:sz w:val="24"/>
          <w:szCs w:val="24"/>
        </w:rPr>
        <w:t>), this standard method for correcting for clustering is not sufficient when the number of groups is finite. In our case, we have 51 states (including the District of Columbia) – definitely a finite number. Each of the states in our sample contains anywhere from 800 to 2000 observations. The size of the potential bias to standard errors from clustering is the square root of (1+ (n-1)</w:t>
      </w:r>
      <w:r w:rsidR="006C5CFC" w:rsidRPr="006C5CFC">
        <w:rPr>
          <w:rFonts w:ascii="Symbol" w:hAnsi="Symbol" w:cs="Times New Roman"/>
          <w:sz w:val="24"/>
          <w:szCs w:val="24"/>
        </w:rPr>
        <w:t></w:t>
      </w:r>
      <w:r w:rsidR="00554B46" w:rsidRPr="00BF790C">
        <w:rPr>
          <w:rFonts w:ascii="Times New Roman" w:hAnsi="Times New Roman" w:cs="Times New Roman"/>
          <w:sz w:val="24"/>
          <w:szCs w:val="24"/>
        </w:rPr>
        <w:t xml:space="preserve">) where n is the number of observations per group, and </w:t>
      </w:r>
      <w:r w:rsidR="006C5CFC" w:rsidRPr="006C5CFC">
        <w:rPr>
          <w:rFonts w:ascii="Symbol" w:hAnsi="Symbol" w:cs="Times New Roman"/>
          <w:sz w:val="24"/>
          <w:szCs w:val="24"/>
        </w:rPr>
        <w:t></w:t>
      </w:r>
      <w:r w:rsidR="00554B46" w:rsidRPr="00BF790C">
        <w:rPr>
          <w:rFonts w:ascii="Times New Roman" w:hAnsi="Times New Roman" w:cs="Times New Roman"/>
          <w:sz w:val="24"/>
          <w:szCs w:val="24"/>
        </w:rPr>
        <w:t xml:space="preserve"> is the within correlation of the error term in each group. Because of the high number of observations </w:t>
      </w:r>
      <w:r w:rsidR="0077582D" w:rsidRPr="00BF790C">
        <w:rPr>
          <w:rFonts w:ascii="Times New Roman" w:hAnsi="Times New Roman" w:cs="Times New Roman"/>
          <w:sz w:val="24"/>
          <w:szCs w:val="24"/>
        </w:rPr>
        <w:t xml:space="preserve">per group in our sample, the potential bias could be severe. </w:t>
      </w:r>
    </w:p>
    <w:p w:rsidR="00F13786" w:rsidRPr="00BF790C" w:rsidRDefault="00F13786" w:rsidP="001F00BE">
      <w:pPr>
        <w:spacing w:after="0" w:line="480" w:lineRule="auto"/>
        <w:rPr>
          <w:rFonts w:ascii="Times New Roman" w:hAnsi="Times New Roman" w:cs="Times New Roman"/>
          <w:sz w:val="24"/>
          <w:szCs w:val="24"/>
        </w:rPr>
      </w:pPr>
    </w:p>
    <w:p w:rsidR="009C5F83" w:rsidRPr="00BF790C" w:rsidRDefault="0077582D" w:rsidP="001F00BE">
      <w:pPr>
        <w:spacing w:after="0" w:line="480" w:lineRule="auto"/>
        <w:rPr>
          <w:rFonts w:ascii="Times New Roman" w:hAnsi="Times New Roman" w:cs="Times New Roman"/>
          <w:sz w:val="24"/>
          <w:szCs w:val="24"/>
        </w:rPr>
      </w:pPr>
      <w:r w:rsidRPr="00BF790C">
        <w:rPr>
          <w:rFonts w:ascii="Times New Roman" w:hAnsi="Times New Roman" w:cs="Times New Roman"/>
          <w:sz w:val="24"/>
          <w:szCs w:val="24"/>
        </w:rPr>
        <w:t xml:space="preserve">To correct for this, we use </w:t>
      </w:r>
      <w:r w:rsidR="00F24129" w:rsidRPr="00BF790C">
        <w:rPr>
          <w:rFonts w:ascii="Times New Roman" w:hAnsi="Times New Roman" w:cs="Times New Roman"/>
          <w:sz w:val="24"/>
          <w:szCs w:val="24"/>
        </w:rPr>
        <w:t>a</w:t>
      </w:r>
      <w:r w:rsidRPr="00BF790C">
        <w:rPr>
          <w:rFonts w:ascii="Times New Roman" w:hAnsi="Times New Roman" w:cs="Times New Roman"/>
          <w:sz w:val="24"/>
          <w:szCs w:val="24"/>
        </w:rPr>
        <w:t xml:space="preserve"> method </w:t>
      </w:r>
      <w:r w:rsidR="007F2F60" w:rsidRPr="00BF790C">
        <w:rPr>
          <w:rFonts w:ascii="Times New Roman" w:hAnsi="Times New Roman" w:cs="Times New Roman"/>
          <w:sz w:val="24"/>
          <w:szCs w:val="24"/>
        </w:rPr>
        <w:t>from</w:t>
      </w:r>
      <w:r w:rsidRPr="00BF790C">
        <w:rPr>
          <w:rFonts w:ascii="Times New Roman" w:hAnsi="Times New Roman" w:cs="Times New Roman"/>
          <w:sz w:val="24"/>
          <w:szCs w:val="24"/>
        </w:rPr>
        <w:t xml:space="preserve"> Wooldridge (2006)</w:t>
      </w:r>
      <w:r w:rsidR="006C0553" w:rsidRPr="00BF790C">
        <w:rPr>
          <w:rFonts w:ascii="Times New Roman" w:hAnsi="Times New Roman" w:cs="Times New Roman"/>
          <w:sz w:val="24"/>
          <w:szCs w:val="24"/>
        </w:rPr>
        <w:t xml:space="preserve"> in which </w:t>
      </w:r>
      <w:proofErr w:type="spellStart"/>
      <w:r w:rsidRPr="00BF790C">
        <w:rPr>
          <w:rFonts w:ascii="Times New Roman" w:hAnsi="Times New Roman" w:cs="Times New Roman"/>
          <w:sz w:val="24"/>
          <w:szCs w:val="24"/>
        </w:rPr>
        <w:t>probit</w:t>
      </w:r>
      <w:proofErr w:type="spellEnd"/>
      <w:r w:rsidRPr="00BF790C">
        <w:rPr>
          <w:rFonts w:ascii="Times New Roman" w:hAnsi="Times New Roman" w:cs="Times New Roman"/>
          <w:sz w:val="24"/>
          <w:szCs w:val="24"/>
        </w:rPr>
        <w:t xml:space="preserve"> equation</w:t>
      </w:r>
      <w:r w:rsidR="006C0553" w:rsidRPr="00BF790C">
        <w:rPr>
          <w:rFonts w:ascii="Times New Roman" w:hAnsi="Times New Roman" w:cs="Times New Roman"/>
          <w:sz w:val="24"/>
          <w:szCs w:val="24"/>
        </w:rPr>
        <w:t>s</w:t>
      </w:r>
      <w:r w:rsidRPr="00BF790C">
        <w:rPr>
          <w:rFonts w:ascii="Times New Roman" w:hAnsi="Times New Roman" w:cs="Times New Roman"/>
          <w:sz w:val="24"/>
          <w:szCs w:val="24"/>
        </w:rPr>
        <w:t xml:space="preserve"> </w:t>
      </w:r>
      <w:r w:rsidR="007F2F60" w:rsidRPr="00BF790C">
        <w:rPr>
          <w:rFonts w:ascii="Times New Roman" w:hAnsi="Times New Roman" w:cs="Times New Roman"/>
          <w:sz w:val="24"/>
          <w:szCs w:val="24"/>
        </w:rPr>
        <w:t xml:space="preserve">are </w:t>
      </w:r>
      <w:r w:rsidR="006C0553" w:rsidRPr="00BF790C">
        <w:rPr>
          <w:rFonts w:ascii="Times New Roman" w:hAnsi="Times New Roman" w:cs="Times New Roman"/>
          <w:sz w:val="24"/>
          <w:szCs w:val="24"/>
        </w:rPr>
        <w:t xml:space="preserve">run </w:t>
      </w:r>
      <w:r w:rsidRPr="00BF790C">
        <w:rPr>
          <w:rFonts w:ascii="Times New Roman" w:hAnsi="Times New Roman" w:cs="Times New Roman"/>
          <w:sz w:val="24"/>
          <w:szCs w:val="24"/>
        </w:rPr>
        <w:t>separately</w:t>
      </w:r>
      <w:r w:rsidR="007F2F60" w:rsidRPr="00BF790C">
        <w:rPr>
          <w:rFonts w:ascii="Times New Roman" w:hAnsi="Times New Roman" w:cs="Times New Roman"/>
          <w:sz w:val="24"/>
          <w:szCs w:val="24"/>
        </w:rPr>
        <w:t xml:space="preserve"> for each state</w:t>
      </w:r>
      <w:r w:rsidR="009C5F83" w:rsidRPr="00BF790C">
        <w:rPr>
          <w:rFonts w:ascii="Times New Roman" w:hAnsi="Times New Roman" w:cs="Times New Roman"/>
          <w:sz w:val="24"/>
          <w:szCs w:val="24"/>
        </w:rPr>
        <w:t xml:space="preserve">, substituting state level variables </w:t>
      </w:r>
      <w:r w:rsidR="006C0553" w:rsidRPr="00BF790C">
        <w:rPr>
          <w:rFonts w:ascii="Times New Roman" w:hAnsi="Times New Roman" w:cs="Times New Roman"/>
          <w:sz w:val="24"/>
          <w:szCs w:val="24"/>
        </w:rPr>
        <w:t xml:space="preserve">with </w:t>
      </w:r>
      <w:r w:rsidR="009C5F83" w:rsidRPr="00BF790C">
        <w:rPr>
          <w:rFonts w:ascii="Times New Roman" w:hAnsi="Times New Roman" w:cs="Times New Roman"/>
          <w:sz w:val="24"/>
          <w:szCs w:val="24"/>
        </w:rPr>
        <w:t>a state level dummy (which is the intercept term of the equation)</w:t>
      </w:r>
      <w:r w:rsidRPr="00BF790C">
        <w:rPr>
          <w:rFonts w:ascii="Times New Roman" w:hAnsi="Times New Roman" w:cs="Times New Roman"/>
          <w:sz w:val="24"/>
          <w:szCs w:val="24"/>
        </w:rPr>
        <w:t xml:space="preserve">. </w:t>
      </w:r>
    </w:p>
    <w:p w:rsidR="009C5F83" w:rsidRPr="00BF790C" w:rsidRDefault="00EE7170" w:rsidP="001F00BE">
      <w:pPr>
        <w:spacing w:line="480" w:lineRule="auto"/>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igt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gt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t</m:t>
              </m:r>
            </m:sub>
          </m:sSub>
          <m:sSub>
            <m:sSubPr>
              <m:ctrlPr>
                <w:rPr>
                  <w:rFonts w:ascii="Cambria Math" w:hAnsi="Times New Roman"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igt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igt</m:t>
              </m:r>
            </m:sub>
          </m:sSub>
        </m:oMath>
      </m:oMathPara>
    </w:p>
    <w:p w:rsidR="00033089" w:rsidRPr="00BF790C" w:rsidRDefault="0077582D" w:rsidP="001F00BE">
      <w:pPr>
        <w:spacing w:after="0" w:line="480" w:lineRule="auto"/>
        <w:rPr>
          <w:rFonts w:ascii="Times New Roman" w:hAnsi="Times New Roman" w:cs="Times New Roman"/>
          <w:sz w:val="24"/>
          <w:szCs w:val="24"/>
        </w:rPr>
      </w:pPr>
      <w:r w:rsidRPr="00BF790C">
        <w:rPr>
          <w:rFonts w:ascii="Times New Roman" w:hAnsi="Times New Roman" w:cs="Times New Roman"/>
          <w:sz w:val="24"/>
          <w:szCs w:val="24"/>
        </w:rPr>
        <w:t xml:space="preserve">The estimated </w:t>
      </w:r>
      <m:oMath>
        <m:sSub>
          <m:sSubPr>
            <m:ctrlPr>
              <w:rPr>
                <w:rFonts w:ascii="Cambria Math" w:hAnsi="Times New Roman" w:cs="Times New Roman"/>
                <w:i/>
                <w:sz w:val="24"/>
                <w:szCs w:val="24"/>
              </w:rPr>
            </m:ctrlPr>
          </m:sSubPr>
          <m:e>
            <m:acc>
              <m:accPr>
                <m:ctrlPr>
                  <w:rPr>
                    <w:rFonts w:ascii="Cambria Math" w:hAnsi="Times New Roman"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gt</m:t>
            </m:r>
          </m:sub>
        </m:sSub>
      </m:oMath>
      <w:r w:rsidRPr="00BF790C">
        <w:rPr>
          <w:rFonts w:ascii="Times New Roman" w:hAnsi="Times New Roman" w:cs="Times New Roman"/>
          <w:sz w:val="24"/>
          <w:szCs w:val="24"/>
        </w:rPr>
        <w:t xml:space="preserve"> from these equations includes all the state level variables. </w:t>
      </w:r>
    </w:p>
    <w:p w:rsidR="00033089" w:rsidRPr="00BF790C" w:rsidRDefault="00EE7170" w:rsidP="001F00BE">
      <w:pPr>
        <w:spacing w:after="0" w:line="480" w:lineRule="auto"/>
        <w:ind w:firstLine="720"/>
        <w:rPr>
          <w:rFonts w:ascii="Times New Roman" w:hAnsi="Times New Roman" w:cs="Times New Roman"/>
          <w:sz w:val="24"/>
          <w:szCs w:val="24"/>
        </w:rPr>
      </w:pPr>
      <m:oMathPara>
        <m:oMathParaPr>
          <m:jc m:val="center"/>
        </m:oMathParaPr>
        <m:oMath>
          <m:sSub>
            <m:sSubPr>
              <m:ctrlPr>
                <w:rPr>
                  <w:rFonts w:ascii="Cambria Math" w:hAnsi="Times New Roman" w:cs="Times New Roman"/>
                  <w:i/>
                  <w:sz w:val="24"/>
                  <w:szCs w:val="24"/>
                </w:rPr>
              </m:ctrlPr>
            </m:sSubPr>
            <m:e>
              <m:acc>
                <m:accPr>
                  <m:ctrlPr>
                    <w:rPr>
                      <w:rFonts w:ascii="Cambria Math" w:hAnsi="Times New Roman"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gt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1+</m:t>
              </m:r>
              <m:r>
                <w:rPr>
                  <w:rFonts w:ascii="Cambria Math" w:hAnsi="Cambria Math" w:cs="Times New Roman"/>
                  <w:sz w:val="24"/>
                  <w:szCs w:val="24"/>
                </w:rPr>
                <m:t>α</m:t>
              </m:r>
            </m:e>
            <m:sub>
              <m:r>
                <w:rPr>
                  <w:rFonts w:ascii="Cambria Math" w:hAnsi="Cambria Math" w:cs="Times New Roman"/>
                  <w:sz w:val="24"/>
                  <w:szCs w:val="24"/>
                </w:rPr>
                <m:t>t</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gt</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gt</m:t>
              </m:r>
            </m:sub>
          </m:sSub>
        </m:oMath>
      </m:oMathPara>
    </w:p>
    <w:p w:rsidR="00033089" w:rsidRPr="00BF790C" w:rsidRDefault="00033089" w:rsidP="001F00BE">
      <w:pPr>
        <w:spacing w:after="0" w:line="480" w:lineRule="auto"/>
        <w:ind w:firstLine="720"/>
        <w:rPr>
          <w:rFonts w:ascii="Times New Roman" w:hAnsi="Times New Roman" w:cs="Times New Roman"/>
          <w:sz w:val="24"/>
          <w:szCs w:val="24"/>
        </w:rPr>
      </w:pPr>
    </w:p>
    <w:p w:rsidR="006C5CFC" w:rsidRDefault="006C0553" w:rsidP="001F00BE">
      <w:pPr>
        <w:spacing w:after="0" w:line="480" w:lineRule="auto"/>
        <w:rPr>
          <w:rFonts w:ascii="Times New Roman" w:hAnsi="Times New Roman" w:cs="Times New Roman"/>
          <w:sz w:val="24"/>
          <w:szCs w:val="24"/>
        </w:rPr>
      </w:pPr>
      <w:r w:rsidRPr="00BF790C">
        <w:rPr>
          <w:rFonts w:ascii="Times New Roman" w:hAnsi="Times New Roman" w:cs="Times New Roman"/>
          <w:sz w:val="24"/>
          <w:szCs w:val="24"/>
        </w:rPr>
        <w:t xml:space="preserve">We then </w:t>
      </w:r>
      <w:r w:rsidR="0077582D" w:rsidRPr="00BF790C">
        <w:rPr>
          <w:rFonts w:ascii="Times New Roman" w:hAnsi="Times New Roman" w:cs="Times New Roman"/>
          <w:sz w:val="24"/>
          <w:szCs w:val="24"/>
        </w:rPr>
        <w:t>regress the 51 estimated state level intercepts on the state level variables</w:t>
      </w:r>
      <w:r w:rsidR="009C5F83" w:rsidRPr="00BF790C">
        <w:rPr>
          <w:rFonts w:ascii="Times New Roman" w:hAnsi="Times New Roman" w:cs="Times New Roman"/>
          <w:sz w:val="24"/>
          <w:szCs w:val="24"/>
        </w:rPr>
        <w:t xml:space="preserve"> using weighted Least Squares</w:t>
      </w:r>
      <w:r w:rsidR="00033089" w:rsidRPr="00BF790C">
        <w:rPr>
          <w:rFonts w:ascii="Times New Roman" w:hAnsi="Times New Roman" w:cs="Times New Roman"/>
          <w:sz w:val="24"/>
          <w:szCs w:val="24"/>
        </w:rPr>
        <w:t>,</w:t>
      </w:r>
      <w:r w:rsidR="009C5F83" w:rsidRPr="00BF790C">
        <w:rPr>
          <w:rFonts w:ascii="Times New Roman" w:hAnsi="Times New Roman" w:cs="Times New Roman"/>
          <w:sz w:val="24"/>
          <w:szCs w:val="24"/>
        </w:rPr>
        <w:t xml:space="preserve"> where the weights are the inverse of the estimated standard errors of the </w:t>
      </w:r>
      <m:oMath>
        <m:sSub>
          <m:sSubPr>
            <m:ctrlPr>
              <w:rPr>
                <w:rFonts w:ascii="Cambria Math" w:hAnsi="Times New Roman" w:cs="Times New Roman"/>
                <w:i/>
                <w:sz w:val="24"/>
                <w:szCs w:val="24"/>
              </w:rPr>
            </m:ctrlPr>
          </m:sSubPr>
          <m:e>
            <m:acc>
              <m:accPr>
                <m:ctrlPr>
                  <w:rPr>
                    <w:rFonts w:ascii="Cambria Math" w:hAnsi="Times New Roman"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gt</m:t>
            </m:r>
          </m:sub>
        </m:sSub>
      </m:oMath>
      <w:r w:rsidR="009C5F83" w:rsidRPr="00BF790C">
        <w:rPr>
          <w:rFonts w:ascii="Times New Roman" w:hAnsi="Times New Roman" w:cs="Times New Roman"/>
          <w:sz w:val="24"/>
          <w:szCs w:val="24"/>
        </w:rPr>
        <w:t xml:space="preserve"> terms in the first stage</w:t>
      </w:r>
      <w:r w:rsidR="00F24129" w:rsidRPr="00BF790C">
        <w:rPr>
          <w:rStyle w:val="FootnoteReference"/>
          <w:rFonts w:ascii="Times New Roman" w:hAnsi="Times New Roman" w:cs="Times New Roman"/>
          <w:sz w:val="24"/>
          <w:szCs w:val="24"/>
        </w:rPr>
        <w:footnoteReference w:id="15"/>
      </w:r>
      <w:r w:rsidR="009C5F83" w:rsidRPr="00BF790C">
        <w:rPr>
          <w:rFonts w:ascii="Times New Roman" w:hAnsi="Times New Roman" w:cs="Times New Roman"/>
          <w:sz w:val="24"/>
          <w:szCs w:val="24"/>
        </w:rPr>
        <w:t xml:space="preserve">. </w:t>
      </w:r>
      <w:r w:rsidR="0077582D" w:rsidRPr="00BF790C">
        <w:rPr>
          <w:rFonts w:ascii="Times New Roman" w:hAnsi="Times New Roman" w:cs="Times New Roman"/>
          <w:sz w:val="24"/>
          <w:szCs w:val="24"/>
        </w:rPr>
        <w:t xml:space="preserve"> </w:t>
      </w:r>
      <w:r w:rsidRPr="00BF790C">
        <w:rPr>
          <w:rFonts w:ascii="Times New Roman" w:hAnsi="Times New Roman" w:cs="Times New Roman"/>
          <w:sz w:val="24"/>
          <w:szCs w:val="24"/>
        </w:rPr>
        <w:t>In</w:t>
      </w:r>
      <w:r w:rsidR="00442BB2" w:rsidRPr="00BF790C">
        <w:rPr>
          <w:rFonts w:ascii="Times New Roman" w:hAnsi="Times New Roman" w:cs="Times New Roman"/>
          <w:sz w:val="24"/>
          <w:szCs w:val="24"/>
        </w:rPr>
        <w:t xml:space="preserve"> 2000-2002, the impact of the </w:t>
      </w:r>
      <w:proofErr w:type="spellStart"/>
      <w:r w:rsidR="00442BB2" w:rsidRPr="00BF790C">
        <w:rPr>
          <w:rFonts w:ascii="Times New Roman" w:hAnsi="Times New Roman" w:cs="Times New Roman"/>
          <w:sz w:val="24"/>
          <w:szCs w:val="24"/>
        </w:rPr>
        <w:t>Gini</w:t>
      </w:r>
      <w:proofErr w:type="spellEnd"/>
      <w:r w:rsidR="00442BB2" w:rsidRPr="00BF790C">
        <w:rPr>
          <w:rFonts w:ascii="Times New Roman" w:hAnsi="Times New Roman" w:cs="Times New Roman"/>
          <w:sz w:val="24"/>
          <w:szCs w:val="24"/>
        </w:rPr>
        <w:t xml:space="preserve"> </w:t>
      </w:r>
      <w:r w:rsidR="00F24129" w:rsidRPr="00BF790C">
        <w:rPr>
          <w:rFonts w:ascii="Times New Roman" w:hAnsi="Times New Roman" w:cs="Times New Roman"/>
          <w:sz w:val="24"/>
          <w:szCs w:val="24"/>
        </w:rPr>
        <w:t>index and the middle age unemployment rate are</w:t>
      </w:r>
      <w:r w:rsidR="00442BB2" w:rsidRPr="00BF790C">
        <w:rPr>
          <w:rFonts w:ascii="Times New Roman" w:hAnsi="Times New Roman" w:cs="Times New Roman"/>
          <w:sz w:val="24"/>
          <w:szCs w:val="24"/>
        </w:rPr>
        <w:t xml:space="preserve"> significant, but none of the other variables are, while in 2010-2012, the impacts of </w:t>
      </w:r>
      <w:proofErr w:type="spellStart"/>
      <w:r w:rsidR="00442BB2" w:rsidRPr="00BF790C">
        <w:rPr>
          <w:rFonts w:ascii="Times New Roman" w:hAnsi="Times New Roman" w:cs="Times New Roman"/>
          <w:sz w:val="24"/>
          <w:szCs w:val="24"/>
        </w:rPr>
        <w:t>Gini</w:t>
      </w:r>
      <w:proofErr w:type="spellEnd"/>
      <w:r w:rsidR="00F24129" w:rsidRPr="00BF790C">
        <w:rPr>
          <w:rFonts w:ascii="Times New Roman" w:hAnsi="Times New Roman" w:cs="Times New Roman"/>
          <w:sz w:val="24"/>
          <w:szCs w:val="24"/>
        </w:rPr>
        <w:t>,</w:t>
      </w:r>
      <w:r w:rsidR="00442BB2" w:rsidRPr="00BF790C">
        <w:rPr>
          <w:rFonts w:ascii="Times New Roman" w:hAnsi="Times New Roman" w:cs="Times New Roman"/>
          <w:sz w:val="24"/>
          <w:szCs w:val="24"/>
        </w:rPr>
        <w:t xml:space="preserve"> the fraction of the population who is </w:t>
      </w:r>
      <w:r w:rsidRPr="00BF790C">
        <w:rPr>
          <w:rFonts w:ascii="Times New Roman" w:hAnsi="Times New Roman" w:cs="Times New Roman"/>
          <w:sz w:val="24"/>
          <w:szCs w:val="24"/>
        </w:rPr>
        <w:t xml:space="preserve">highly </w:t>
      </w:r>
      <w:r w:rsidR="00442BB2" w:rsidRPr="00BF790C">
        <w:rPr>
          <w:rFonts w:ascii="Times New Roman" w:hAnsi="Times New Roman" w:cs="Times New Roman"/>
          <w:sz w:val="24"/>
          <w:szCs w:val="24"/>
        </w:rPr>
        <w:t>educated</w:t>
      </w:r>
      <w:r w:rsidR="00F24129" w:rsidRPr="00BF790C">
        <w:rPr>
          <w:rFonts w:ascii="Times New Roman" w:hAnsi="Times New Roman" w:cs="Times New Roman"/>
          <w:sz w:val="24"/>
          <w:szCs w:val="24"/>
        </w:rPr>
        <w:t xml:space="preserve"> and the older unemployment</w:t>
      </w:r>
      <w:r w:rsidR="00442BB2" w:rsidRPr="00BF790C">
        <w:rPr>
          <w:rFonts w:ascii="Times New Roman" w:hAnsi="Times New Roman" w:cs="Times New Roman"/>
          <w:sz w:val="24"/>
          <w:szCs w:val="24"/>
        </w:rPr>
        <w:t xml:space="preserve"> </w:t>
      </w:r>
      <w:r w:rsidRPr="00BF790C">
        <w:rPr>
          <w:rFonts w:ascii="Times New Roman" w:hAnsi="Times New Roman" w:cs="Times New Roman"/>
          <w:sz w:val="24"/>
          <w:szCs w:val="24"/>
        </w:rPr>
        <w:t xml:space="preserve">rate trends </w:t>
      </w:r>
      <w:r w:rsidR="00442BB2" w:rsidRPr="00BF790C">
        <w:rPr>
          <w:rFonts w:ascii="Times New Roman" w:hAnsi="Times New Roman" w:cs="Times New Roman"/>
          <w:sz w:val="24"/>
          <w:szCs w:val="24"/>
        </w:rPr>
        <w:t>are significant</w:t>
      </w:r>
      <w:r w:rsidR="0077582D" w:rsidRPr="00BF790C">
        <w:rPr>
          <w:rFonts w:ascii="Times New Roman" w:hAnsi="Times New Roman" w:cs="Times New Roman"/>
          <w:sz w:val="24"/>
          <w:szCs w:val="24"/>
        </w:rPr>
        <w:t xml:space="preserve">. </w:t>
      </w:r>
    </w:p>
    <w:p w:rsidR="006C5CFC" w:rsidRDefault="006C5CFC" w:rsidP="001F00BE">
      <w:pPr>
        <w:spacing w:after="0" w:line="480" w:lineRule="auto"/>
        <w:rPr>
          <w:rFonts w:ascii="Times New Roman" w:hAnsi="Times New Roman" w:cs="Times New Roman"/>
          <w:sz w:val="24"/>
          <w:szCs w:val="24"/>
        </w:rPr>
      </w:pPr>
    </w:p>
    <w:p w:rsidR="006C5CFC" w:rsidRDefault="006C5CFC" w:rsidP="001F00BE">
      <w:pPr>
        <w:spacing w:after="0" w:line="480" w:lineRule="auto"/>
        <w:rPr>
          <w:rFonts w:ascii="Times New Roman" w:hAnsi="Times New Roman" w:cs="Times New Roman"/>
          <w:sz w:val="24"/>
          <w:szCs w:val="24"/>
        </w:rPr>
      </w:pPr>
      <w:r>
        <w:rPr>
          <w:rFonts w:ascii="Times New Roman" w:hAnsi="Times New Roman" w:cs="Times New Roman"/>
          <w:sz w:val="24"/>
          <w:szCs w:val="24"/>
        </w:rPr>
        <w:t>[Table 6 about here]</w:t>
      </w:r>
    </w:p>
    <w:p w:rsidR="006C5CFC" w:rsidRDefault="006C5CFC" w:rsidP="001F00BE">
      <w:pPr>
        <w:spacing w:after="0" w:line="480" w:lineRule="auto"/>
        <w:rPr>
          <w:rFonts w:ascii="Times New Roman" w:hAnsi="Times New Roman" w:cs="Times New Roman"/>
          <w:sz w:val="24"/>
          <w:szCs w:val="24"/>
        </w:rPr>
      </w:pPr>
    </w:p>
    <w:p w:rsidR="0077582D" w:rsidRPr="00BF790C" w:rsidRDefault="00442BB2" w:rsidP="001F00BE">
      <w:pPr>
        <w:spacing w:after="0" w:line="480" w:lineRule="auto"/>
        <w:rPr>
          <w:rFonts w:ascii="Times New Roman" w:hAnsi="Times New Roman" w:cs="Times New Roman"/>
          <w:sz w:val="24"/>
          <w:szCs w:val="24"/>
        </w:rPr>
      </w:pPr>
      <w:r w:rsidRPr="00BF790C">
        <w:rPr>
          <w:rFonts w:ascii="Times New Roman" w:hAnsi="Times New Roman" w:cs="Times New Roman"/>
          <w:sz w:val="24"/>
          <w:szCs w:val="24"/>
        </w:rPr>
        <w:t>Th</w:t>
      </w:r>
      <w:r w:rsidR="006C0553" w:rsidRPr="00BF790C">
        <w:rPr>
          <w:rFonts w:ascii="Times New Roman" w:hAnsi="Times New Roman" w:cs="Times New Roman"/>
          <w:sz w:val="24"/>
          <w:szCs w:val="24"/>
        </w:rPr>
        <w:t>at</w:t>
      </w:r>
      <w:r w:rsidRPr="00BF790C">
        <w:rPr>
          <w:rFonts w:ascii="Times New Roman" w:hAnsi="Times New Roman" w:cs="Times New Roman"/>
          <w:sz w:val="24"/>
          <w:szCs w:val="24"/>
        </w:rPr>
        <w:t xml:space="preserve"> state level variables retain their significance when we run the specification at the state level increases our confidence that </w:t>
      </w:r>
      <w:r w:rsidR="006C0553" w:rsidRPr="00BF790C">
        <w:rPr>
          <w:rFonts w:ascii="Times New Roman" w:hAnsi="Times New Roman" w:cs="Times New Roman"/>
          <w:sz w:val="24"/>
          <w:szCs w:val="24"/>
        </w:rPr>
        <w:t xml:space="preserve">the original </w:t>
      </w:r>
      <w:r w:rsidRPr="00BF790C">
        <w:rPr>
          <w:rFonts w:ascii="Times New Roman" w:hAnsi="Times New Roman" w:cs="Times New Roman"/>
          <w:sz w:val="24"/>
          <w:szCs w:val="24"/>
        </w:rPr>
        <w:t>findings are significant.</w:t>
      </w:r>
      <w:r w:rsidR="00C50360" w:rsidRPr="00BF790C">
        <w:rPr>
          <w:rFonts w:ascii="Times New Roman" w:hAnsi="Times New Roman" w:cs="Times New Roman"/>
          <w:sz w:val="24"/>
          <w:szCs w:val="24"/>
        </w:rPr>
        <w:t xml:space="preserve"> </w:t>
      </w:r>
    </w:p>
    <w:p w:rsidR="00554B46" w:rsidRPr="00BF790C" w:rsidRDefault="00554B46" w:rsidP="001F00BE">
      <w:pPr>
        <w:spacing w:after="0" w:line="480" w:lineRule="auto"/>
        <w:rPr>
          <w:rFonts w:ascii="Times New Roman" w:hAnsi="Times New Roman" w:cs="Times New Roman"/>
          <w:sz w:val="24"/>
          <w:szCs w:val="24"/>
        </w:rPr>
      </w:pPr>
    </w:p>
    <w:p w:rsidR="00423001" w:rsidRPr="00BF790C" w:rsidRDefault="00423001" w:rsidP="001F00BE">
      <w:pPr>
        <w:spacing w:line="480" w:lineRule="auto"/>
        <w:rPr>
          <w:rFonts w:ascii="Times New Roman" w:hAnsi="Times New Roman" w:cs="Times New Roman"/>
          <w:b/>
          <w:sz w:val="24"/>
          <w:szCs w:val="24"/>
        </w:rPr>
      </w:pPr>
    </w:p>
    <w:p w:rsidR="008D0292" w:rsidRPr="00BF790C" w:rsidRDefault="00BE1A6B" w:rsidP="001F00BE">
      <w:pPr>
        <w:spacing w:line="480" w:lineRule="auto"/>
        <w:rPr>
          <w:rFonts w:ascii="Times New Roman" w:hAnsi="Times New Roman" w:cs="Times New Roman"/>
          <w:b/>
          <w:sz w:val="24"/>
          <w:szCs w:val="24"/>
        </w:rPr>
      </w:pPr>
      <w:r w:rsidRPr="00BF790C">
        <w:rPr>
          <w:rFonts w:ascii="Times New Roman" w:hAnsi="Times New Roman" w:cs="Times New Roman"/>
          <w:b/>
          <w:sz w:val="24"/>
          <w:szCs w:val="24"/>
        </w:rPr>
        <w:t>ADDITIONAL ROBUSTNESS CHECK</w:t>
      </w:r>
    </w:p>
    <w:p w:rsidR="00812E6D" w:rsidRPr="00BF790C" w:rsidRDefault="008D0292"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The findings in the paper relied on cross sectional data from 2000-2002 and 2010-2012. While the results are significant, there is always a possibility that there is an omitted dimension that we did not control for that explains the change in sponsorship. To correct for this possibility, we use longitudinal data from the SIPP 2008 panel. Waves 3 and 11 were fielded in April-July 2009 and December 2011-March 2012, and in both of these waves, respondents were asked about their retirement account sponsorship. Though it is a short panel, we track respondents who were ages 25-64</w:t>
      </w:r>
      <w:r w:rsidR="003967C3" w:rsidRPr="00BF790C">
        <w:rPr>
          <w:rFonts w:ascii="Times New Roman" w:hAnsi="Times New Roman" w:cs="Times New Roman"/>
          <w:sz w:val="24"/>
          <w:szCs w:val="24"/>
        </w:rPr>
        <w:t>,</w:t>
      </w:r>
      <w:r w:rsidRPr="00BF790C">
        <w:rPr>
          <w:rFonts w:ascii="Times New Roman" w:hAnsi="Times New Roman" w:cs="Times New Roman"/>
          <w:sz w:val="24"/>
          <w:szCs w:val="24"/>
        </w:rPr>
        <w:t xml:space="preserve"> were working and were sponsored for a retirement account through their employer in wave 3, </w:t>
      </w:r>
      <w:r w:rsidR="003967C3" w:rsidRPr="00BF790C">
        <w:rPr>
          <w:rFonts w:ascii="Times New Roman" w:hAnsi="Times New Roman" w:cs="Times New Roman"/>
          <w:sz w:val="24"/>
          <w:szCs w:val="24"/>
        </w:rPr>
        <w:t xml:space="preserve">and </w:t>
      </w:r>
      <w:r w:rsidRPr="00BF790C">
        <w:rPr>
          <w:rFonts w:ascii="Times New Roman" w:hAnsi="Times New Roman" w:cs="Times New Roman"/>
          <w:sz w:val="24"/>
          <w:szCs w:val="24"/>
        </w:rPr>
        <w:t xml:space="preserve">who remained in the sample </w:t>
      </w:r>
      <w:r w:rsidR="003967C3" w:rsidRPr="00BF790C">
        <w:rPr>
          <w:rFonts w:ascii="Times New Roman" w:hAnsi="Times New Roman" w:cs="Times New Roman"/>
          <w:sz w:val="24"/>
          <w:szCs w:val="24"/>
        </w:rPr>
        <w:t xml:space="preserve">and were working </w:t>
      </w:r>
      <w:r w:rsidRPr="00BF790C">
        <w:rPr>
          <w:rFonts w:ascii="Times New Roman" w:hAnsi="Times New Roman" w:cs="Times New Roman"/>
          <w:sz w:val="24"/>
          <w:szCs w:val="24"/>
        </w:rPr>
        <w:t xml:space="preserve">in wave 11. We check what happened to these respondents: did they retain their sponsorship or did they lose it. We then conduct a </w:t>
      </w:r>
      <w:proofErr w:type="spellStart"/>
      <w:r w:rsidRPr="00BF790C">
        <w:rPr>
          <w:rFonts w:ascii="Times New Roman" w:hAnsi="Times New Roman" w:cs="Times New Roman"/>
          <w:sz w:val="24"/>
          <w:szCs w:val="24"/>
        </w:rPr>
        <w:t>probit</w:t>
      </w:r>
      <w:proofErr w:type="spellEnd"/>
      <w:r w:rsidRPr="00BF790C">
        <w:rPr>
          <w:rFonts w:ascii="Times New Roman" w:hAnsi="Times New Roman" w:cs="Times New Roman"/>
          <w:sz w:val="24"/>
          <w:szCs w:val="24"/>
        </w:rPr>
        <w:t xml:space="preserve"> analysis of the probability of losing sponsorship subject to individual level and state level controls. </w:t>
      </w:r>
    </w:p>
    <w:p w:rsidR="00812E6D" w:rsidRDefault="008D0292"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Results are in appendix table 7 and they indicate that getting more education matters for improving one</w:t>
      </w:r>
      <w:r w:rsidR="003967C3" w:rsidRPr="00BF790C">
        <w:rPr>
          <w:rFonts w:ascii="Times New Roman" w:hAnsi="Times New Roman" w:cs="Times New Roman"/>
          <w:sz w:val="24"/>
          <w:szCs w:val="24"/>
        </w:rPr>
        <w:t>’</w:t>
      </w:r>
      <w:r w:rsidRPr="00BF790C">
        <w:rPr>
          <w:rFonts w:ascii="Times New Roman" w:hAnsi="Times New Roman" w:cs="Times New Roman"/>
          <w:sz w:val="24"/>
          <w:szCs w:val="24"/>
        </w:rPr>
        <w:t xml:space="preserve">s likelihood of getting sponsored, but only for education past the college level. Losing retirement account sponsorship was </w:t>
      </w:r>
      <w:r w:rsidR="00812E6D" w:rsidRPr="00BF790C">
        <w:rPr>
          <w:rFonts w:ascii="Times New Roman" w:hAnsi="Times New Roman" w:cs="Times New Roman"/>
          <w:sz w:val="24"/>
          <w:szCs w:val="24"/>
        </w:rPr>
        <w:t>associated with</w:t>
      </w:r>
      <w:r w:rsidRPr="00BF790C">
        <w:rPr>
          <w:rFonts w:ascii="Times New Roman" w:hAnsi="Times New Roman" w:cs="Times New Roman"/>
          <w:sz w:val="24"/>
          <w:szCs w:val="24"/>
        </w:rPr>
        <w:t xml:space="preserve"> a decrease in firm size, </w:t>
      </w:r>
      <w:r w:rsidR="00812E6D" w:rsidRPr="00BF790C">
        <w:rPr>
          <w:rFonts w:ascii="Times New Roman" w:hAnsi="Times New Roman" w:cs="Times New Roman"/>
          <w:sz w:val="24"/>
          <w:szCs w:val="24"/>
        </w:rPr>
        <w:t xml:space="preserve">a change in industry </w:t>
      </w:r>
      <w:r w:rsidR="003967C3" w:rsidRPr="00BF790C">
        <w:rPr>
          <w:rFonts w:ascii="Times New Roman" w:hAnsi="Times New Roman" w:cs="Times New Roman"/>
          <w:sz w:val="24"/>
          <w:szCs w:val="24"/>
        </w:rPr>
        <w:t>or</w:t>
      </w:r>
      <w:r w:rsidR="00812E6D" w:rsidRPr="00BF790C">
        <w:rPr>
          <w:rFonts w:ascii="Times New Roman" w:hAnsi="Times New Roman" w:cs="Times New Roman"/>
          <w:sz w:val="24"/>
          <w:szCs w:val="24"/>
        </w:rPr>
        <w:t xml:space="preserve"> occupation (into certain sectors), moving into </w:t>
      </w:r>
      <w:r w:rsidR="003967C3" w:rsidRPr="00BF790C">
        <w:rPr>
          <w:rFonts w:ascii="Times New Roman" w:hAnsi="Times New Roman" w:cs="Times New Roman"/>
          <w:sz w:val="24"/>
          <w:szCs w:val="24"/>
        </w:rPr>
        <w:t xml:space="preserve">the </w:t>
      </w:r>
      <w:r w:rsidR="00812E6D" w:rsidRPr="00BF790C">
        <w:rPr>
          <w:rFonts w:ascii="Times New Roman" w:hAnsi="Times New Roman" w:cs="Times New Roman"/>
          <w:sz w:val="24"/>
          <w:szCs w:val="24"/>
        </w:rPr>
        <w:t xml:space="preserve">private sector or becoming self employed and becoming single. The number of months spent unemployed significantly reduced one’s chances of getting sponsored for a retirement account at work. On the other hand, gaining union coverage significantly improved one’s chances of getting retirement account sponsorship, as did working more hours. </w:t>
      </w:r>
    </w:p>
    <w:p w:rsidR="006C5CFC" w:rsidRPr="00BF790C" w:rsidRDefault="006C5CFC" w:rsidP="001F00BE">
      <w:pPr>
        <w:spacing w:line="480" w:lineRule="auto"/>
        <w:rPr>
          <w:rFonts w:ascii="Times New Roman" w:hAnsi="Times New Roman" w:cs="Times New Roman"/>
          <w:sz w:val="24"/>
          <w:szCs w:val="24"/>
        </w:rPr>
      </w:pPr>
      <w:r>
        <w:rPr>
          <w:rFonts w:ascii="Times New Roman" w:hAnsi="Times New Roman" w:cs="Times New Roman"/>
          <w:sz w:val="24"/>
          <w:szCs w:val="24"/>
        </w:rPr>
        <w:t>[Table 7 about here]</w:t>
      </w:r>
    </w:p>
    <w:p w:rsidR="00812E6D" w:rsidRPr="00BF790C" w:rsidRDefault="00812E6D"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The state level variables did not impact the probability of keeping or losing sponsorship, except for the fraction of the state’s population that is young, though this effect is probably picking up migration by young people into states that experience improvements in labor demand. </w:t>
      </w:r>
      <w:r w:rsidR="003967C3" w:rsidRPr="00BF790C">
        <w:rPr>
          <w:rFonts w:ascii="Times New Roman" w:hAnsi="Times New Roman" w:cs="Times New Roman"/>
          <w:sz w:val="24"/>
          <w:szCs w:val="24"/>
        </w:rPr>
        <w:t>The lack of significance of state level variables in the longitudinal analysis may be a result of the fact that the length of the panel is short and does not allow for many changes at the state level.</w:t>
      </w:r>
    </w:p>
    <w:p w:rsidR="008D0292" w:rsidRPr="00BF790C" w:rsidRDefault="00812E6D"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The results of th</w:t>
      </w:r>
      <w:r w:rsidR="003967C3" w:rsidRPr="00BF790C">
        <w:rPr>
          <w:rFonts w:ascii="Times New Roman" w:hAnsi="Times New Roman" w:cs="Times New Roman"/>
          <w:sz w:val="24"/>
          <w:szCs w:val="24"/>
        </w:rPr>
        <w:t>e</w:t>
      </w:r>
      <w:r w:rsidRPr="00BF790C">
        <w:rPr>
          <w:rFonts w:ascii="Times New Roman" w:hAnsi="Times New Roman" w:cs="Times New Roman"/>
          <w:sz w:val="24"/>
          <w:szCs w:val="24"/>
        </w:rPr>
        <w:t xml:space="preserve"> longitudinal analysis reinforce our claim that bargaining power matters</w:t>
      </w:r>
      <w:r w:rsidR="0074261D" w:rsidRPr="00BF790C">
        <w:rPr>
          <w:rFonts w:ascii="Times New Roman" w:hAnsi="Times New Roman" w:cs="Times New Roman"/>
          <w:sz w:val="24"/>
          <w:szCs w:val="24"/>
        </w:rPr>
        <w:t>, since the length of time spent unemployed and union status both significantly impacted the likelihood of losing or retaining retirement account sponsorship.</w:t>
      </w:r>
      <w:r w:rsidRPr="00BF790C">
        <w:rPr>
          <w:rFonts w:ascii="Times New Roman" w:hAnsi="Times New Roman" w:cs="Times New Roman"/>
          <w:sz w:val="24"/>
          <w:szCs w:val="24"/>
        </w:rPr>
        <w:t xml:space="preserve">  </w:t>
      </w:r>
    </w:p>
    <w:p w:rsidR="008D0292" w:rsidRPr="00BF790C" w:rsidRDefault="008D0292" w:rsidP="001F00BE">
      <w:pPr>
        <w:spacing w:line="480" w:lineRule="auto"/>
        <w:rPr>
          <w:rFonts w:ascii="Times New Roman" w:hAnsi="Times New Roman" w:cs="Times New Roman"/>
          <w:b/>
          <w:sz w:val="24"/>
          <w:szCs w:val="24"/>
        </w:rPr>
      </w:pPr>
    </w:p>
    <w:p w:rsidR="00A65092" w:rsidRPr="00BF790C" w:rsidRDefault="00BE1A6B" w:rsidP="001F00BE">
      <w:pPr>
        <w:spacing w:line="480" w:lineRule="auto"/>
        <w:jc w:val="center"/>
        <w:rPr>
          <w:rFonts w:ascii="Times New Roman" w:hAnsi="Times New Roman" w:cs="Times New Roman"/>
          <w:b/>
          <w:sz w:val="24"/>
          <w:szCs w:val="24"/>
        </w:rPr>
      </w:pPr>
      <w:r w:rsidRPr="00BF790C">
        <w:rPr>
          <w:rFonts w:ascii="Times New Roman" w:hAnsi="Times New Roman" w:cs="Times New Roman"/>
          <w:b/>
          <w:sz w:val="24"/>
          <w:szCs w:val="24"/>
        </w:rPr>
        <w:t>CONCLUSION</w:t>
      </w:r>
    </w:p>
    <w:p w:rsidR="00FA5206" w:rsidRPr="00BF790C" w:rsidRDefault="00FA5206"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We utilize state variation in </w:t>
      </w:r>
      <w:r w:rsidR="0052158E" w:rsidRPr="00BF790C">
        <w:rPr>
          <w:rFonts w:ascii="Times New Roman" w:hAnsi="Times New Roman" w:cs="Times New Roman"/>
          <w:sz w:val="24"/>
          <w:szCs w:val="24"/>
        </w:rPr>
        <w:t xml:space="preserve">retirement account </w:t>
      </w:r>
      <w:r w:rsidRPr="00BF790C">
        <w:rPr>
          <w:rFonts w:ascii="Times New Roman" w:hAnsi="Times New Roman" w:cs="Times New Roman"/>
          <w:sz w:val="24"/>
          <w:szCs w:val="24"/>
        </w:rPr>
        <w:t xml:space="preserve">sponsorship to investigate whether the retirement account bargaining environments, along with firm and worker characteristics, account for changes in sponsorship rates over time. </w:t>
      </w:r>
    </w:p>
    <w:p w:rsidR="009D71C8" w:rsidRPr="00BF790C" w:rsidRDefault="00FA5206"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 xml:space="preserve">Using a </w:t>
      </w:r>
      <w:proofErr w:type="spellStart"/>
      <w:r w:rsidRPr="00BF790C">
        <w:rPr>
          <w:rFonts w:ascii="Times New Roman" w:hAnsi="Times New Roman" w:cs="Times New Roman"/>
          <w:sz w:val="24"/>
          <w:szCs w:val="24"/>
        </w:rPr>
        <w:t>Probit</w:t>
      </w:r>
      <w:proofErr w:type="spellEnd"/>
      <w:r w:rsidRPr="00BF790C">
        <w:rPr>
          <w:rFonts w:ascii="Times New Roman" w:hAnsi="Times New Roman" w:cs="Times New Roman"/>
          <w:sz w:val="24"/>
          <w:szCs w:val="24"/>
        </w:rPr>
        <w:t xml:space="preserve"> model and an Oaxaca-Blinder threefold decomposition technique</w:t>
      </w:r>
      <w:r w:rsidR="009D71C8" w:rsidRPr="00BF790C">
        <w:rPr>
          <w:rFonts w:ascii="Times New Roman" w:hAnsi="Times New Roman" w:cs="Times New Roman"/>
          <w:sz w:val="24"/>
          <w:szCs w:val="24"/>
        </w:rPr>
        <w:t xml:space="preserve"> applied to data from the CPS for 2000-2002 and 2010-2012</w:t>
      </w:r>
      <w:r w:rsidRPr="00BF790C">
        <w:rPr>
          <w:rFonts w:ascii="Times New Roman" w:hAnsi="Times New Roman" w:cs="Times New Roman"/>
          <w:sz w:val="24"/>
          <w:szCs w:val="24"/>
        </w:rPr>
        <w:t>, we find that</w:t>
      </w:r>
      <w:r w:rsidR="00E12127" w:rsidRPr="00BF790C">
        <w:rPr>
          <w:rFonts w:ascii="Times New Roman" w:hAnsi="Times New Roman" w:cs="Times New Roman"/>
          <w:sz w:val="24"/>
          <w:szCs w:val="24"/>
        </w:rPr>
        <w:t xml:space="preserve"> state level variables dominate the individual and firm level variables in determining retirement account sponsorship. </w:t>
      </w:r>
      <w:r w:rsidR="009D71C8" w:rsidRPr="00BF790C">
        <w:rPr>
          <w:rFonts w:ascii="Times New Roman" w:hAnsi="Times New Roman" w:cs="Times New Roman"/>
          <w:sz w:val="24"/>
          <w:szCs w:val="24"/>
        </w:rPr>
        <w:t xml:space="preserve">Specifically, the rise in unemployment rates for young workers, the increase in inequality measured by the </w:t>
      </w:r>
      <w:proofErr w:type="spellStart"/>
      <w:r w:rsidR="009D71C8" w:rsidRPr="00BF790C">
        <w:rPr>
          <w:rFonts w:ascii="Times New Roman" w:hAnsi="Times New Roman" w:cs="Times New Roman"/>
          <w:sz w:val="24"/>
          <w:szCs w:val="24"/>
        </w:rPr>
        <w:t>Gini</w:t>
      </w:r>
      <w:proofErr w:type="spellEnd"/>
      <w:r w:rsidR="009D71C8" w:rsidRPr="00BF790C">
        <w:rPr>
          <w:rFonts w:ascii="Times New Roman" w:hAnsi="Times New Roman" w:cs="Times New Roman"/>
          <w:sz w:val="24"/>
          <w:szCs w:val="24"/>
        </w:rPr>
        <w:t xml:space="preserve"> index, the growing employment at small firms, the peak in the number of weeks unemployed, the decreasing coverage of unions, and the drop in manufacturing were the largest contributors to a drop in the retirement account sponsorship rate. On the other hand, the aging workforce (as measured by the drop in the fraction of working age people who are under 40 years of age) and the rising unemployment of middle aged workers were the most significant forces pulling sponsorship rates up. </w:t>
      </w:r>
    </w:p>
    <w:p w:rsidR="009D71C8" w:rsidRPr="00BF790C" w:rsidRDefault="009D71C8"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We also apply a longitudinal analysis using data from the SIPP 2008 panel, waves 3 and 11. The results of the longitudinal analysis reinforce our claim that bargaining power matters, since the length of time spent unemployed and union status both significantly impacted the likelihood of losing or retaining retirement acco</w:t>
      </w:r>
      <w:bookmarkStart w:id="0" w:name="_GoBack"/>
      <w:bookmarkEnd w:id="0"/>
      <w:r w:rsidRPr="00BF790C">
        <w:rPr>
          <w:rFonts w:ascii="Times New Roman" w:hAnsi="Times New Roman" w:cs="Times New Roman"/>
          <w:sz w:val="24"/>
          <w:szCs w:val="24"/>
        </w:rPr>
        <w:t xml:space="preserve">unt sponsorship.  </w:t>
      </w:r>
    </w:p>
    <w:p w:rsidR="00DB08ED" w:rsidRDefault="009D71C8" w:rsidP="001F00BE">
      <w:pPr>
        <w:spacing w:line="480" w:lineRule="auto"/>
        <w:rPr>
          <w:rFonts w:ascii="Times New Roman" w:hAnsi="Times New Roman" w:cs="Times New Roman"/>
          <w:sz w:val="24"/>
          <w:szCs w:val="24"/>
        </w:rPr>
      </w:pPr>
      <w:r w:rsidRPr="00BF790C">
        <w:rPr>
          <w:rFonts w:ascii="Times New Roman" w:hAnsi="Times New Roman" w:cs="Times New Roman"/>
          <w:sz w:val="24"/>
          <w:szCs w:val="24"/>
        </w:rPr>
        <w:t>Our results suggest that bargaining power and the bargaining environment are significant determinants of retirement account sponsorship. Therefore</w:t>
      </w:r>
      <w:r w:rsidR="008501EF" w:rsidRPr="00BF790C">
        <w:rPr>
          <w:rFonts w:ascii="Times New Roman" w:hAnsi="Times New Roman" w:cs="Times New Roman"/>
          <w:sz w:val="24"/>
          <w:szCs w:val="24"/>
        </w:rPr>
        <w:t xml:space="preserve">, attempts to raise </w:t>
      </w:r>
      <w:r w:rsidR="0052158E" w:rsidRPr="00BF790C">
        <w:rPr>
          <w:rFonts w:ascii="Times New Roman" w:hAnsi="Times New Roman" w:cs="Times New Roman"/>
          <w:sz w:val="24"/>
          <w:szCs w:val="24"/>
        </w:rPr>
        <w:t xml:space="preserve">retirement account </w:t>
      </w:r>
      <w:r w:rsidR="008501EF" w:rsidRPr="00BF790C">
        <w:rPr>
          <w:rFonts w:ascii="Times New Roman" w:hAnsi="Times New Roman" w:cs="Times New Roman"/>
          <w:sz w:val="24"/>
          <w:szCs w:val="24"/>
        </w:rPr>
        <w:t>sponsorship must ad</w:t>
      </w:r>
      <w:r w:rsidR="00F51AC9" w:rsidRPr="00BF790C">
        <w:rPr>
          <w:rFonts w:ascii="Times New Roman" w:hAnsi="Times New Roman" w:cs="Times New Roman"/>
          <w:sz w:val="24"/>
          <w:szCs w:val="24"/>
        </w:rPr>
        <w:t>dress the degradation of worker</w:t>
      </w:r>
      <w:r w:rsidR="008501EF" w:rsidRPr="00BF790C">
        <w:rPr>
          <w:rFonts w:ascii="Times New Roman" w:hAnsi="Times New Roman" w:cs="Times New Roman"/>
          <w:sz w:val="24"/>
          <w:szCs w:val="24"/>
        </w:rPr>
        <w:t>s</w:t>
      </w:r>
      <w:r w:rsidR="00F51AC9" w:rsidRPr="00BF790C">
        <w:rPr>
          <w:rFonts w:ascii="Times New Roman" w:hAnsi="Times New Roman" w:cs="Times New Roman"/>
          <w:sz w:val="24"/>
          <w:szCs w:val="24"/>
        </w:rPr>
        <w:t>’</w:t>
      </w:r>
      <w:r w:rsidR="008501EF" w:rsidRPr="00BF790C">
        <w:rPr>
          <w:rFonts w:ascii="Times New Roman" w:hAnsi="Times New Roman" w:cs="Times New Roman"/>
          <w:sz w:val="24"/>
          <w:szCs w:val="24"/>
        </w:rPr>
        <w:t xml:space="preserve"> bargaining power. </w:t>
      </w:r>
    </w:p>
    <w:p w:rsidR="006C5CFC" w:rsidRDefault="00E23631" w:rsidP="001F00BE">
      <w:pPr>
        <w:tabs>
          <w:tab w:val="left" w:pos="6764"/>
        </w:tabs>
        <w:spacing w:line="480" w:lineRule="auto"/>
        <w:rPr>
          <w:rFonts w:ascii="Times New Roman" w:hAnsi="Times New Roman" w:cs="Times New Roman"/>
          <w:sz w:val="24"/>
          <w:szCs w:val="24"/>
        </w:rPr>
      </w:pPr>
      <w:r>
        <w:rPr>
          <w:rFonts w:ascii="Times New Roman" w:hAnsi="Times New Roman" w:cs="Times New Roman"/>
          <w:sz w:val="24"/>
          <w:szCs w:val="24"/>
        </w:rPr>
        <w:tab/>
      </w:r>
    </w:p>
    <w:p w:rsidR="003509E5" w:rsidRDefault="003509E5" w:rsidP="001F00BE">
      <w:pPr>
        <w:spacing w:line="480" w:lineRule="auto"/>
        <w:rPr>
          <w:rFonts w:ascii="Times New Roman" w:hAnsi="Times New Roman" w:cs="Times New Roman"/>
          <w:sz w:val="24"/>
          <w:szCs w:val="24"/>
        </w:rPr>
      </w:pPr>
    </w:p>
    <w:p w:rsidR="001F00BE" w:rsidRDefault="001F00BE" w:rsidP="001F00BE">
      <w:pPr>
        <w:spacing w:line="480" w:lineRule="auto"/>
        <w:rPr>
          <w:rFonts w:ascii="Times New Roman" w:hAnsi="Times New Roman" w:cs="Times New Roman"/>
          <w:sz w:val="24"/>
          <w:szCs w:val="24"/>
        </w:rPr>
      </w:pPr>
    </w:p>
    <w:p w:rsidR="001F00BE" w:rsidRDefault="001F00BE" w:rsidP="001F00BE">
      <w:pPr>
        <w:spacing w:line="480" w:lineRule="auto"/>
        <w:rPr>
          <w:rFonts w:ascii="Times New Roman" w:hAnsi="Times New Roman" w:cs="Times New Roman"/>
          <w:sz w:val="24"/>
          <w:szCs w:val="24"/>
        </w:rPr>
      </w:pPr>
    </w:p>
    <w:p w:rsidR="001F00BE" w:rsidRDefault="001F00BE" w:rsidP="001F00BE">
      <w:pPr>
        <w:spacing w:line="480" w:lineRule="auto"/>
        <w:rPr>
          <w:rFonts w:ascii="Times New Roman" w:hAnsi="Times New Roman" w:cs="Times New Roman"/>
          <w:sz w:val="24"/>
          <w:szCs w:val="24"/>
        </w:rPr>
      </w:pPr>
    </w:p>
    <w:p w:rsidR="001F00BE" w:rsidRDefault="001F00BE" w:rsidP="001F00BE">
      <w:pPr>
        <w:spacing w:line="480" w:lineRule="auto"/>
        <w:rPr>
          <w:rFonts w:ascii="Times New Roman" w:hAnsi="Times New Roman" w:cs="Times New Roman"/>
          <w:sz w:val="24"/>
          <w:szCs w:val="24"/>
        </w:rPr>
      </w:pPr>
    </w:p>
    <w:p w:rsidR="001F00BE" w:rsidRDefault="001F00BE" w:rsidP="001F00BE">
      <w:pPr>
        <w:spacing w:line="480" w:lineRule="auto"/>
        <w:rPr>
          <w:rFonts w:ascii="Times New Roman" w:hAnsi="Times New Roman" w:cs="Times New Roman"/>
          <w:sz w:val="24"/>
          <w:szCs w:val="24"/>
        </w:rPr>
      </w:pPr>
    </w:p>
    <w:p w:rsidR="001F00BE" w:rsidRDefault="001F00BE" w:rsidP="001F00BE">
      <w:pPr>
        <w:spacing w:line="480" w:lineRule="auto"/>
        <w:rPr>
          <w:rFonts w:ascii="Times New Roman" w:hAnsi="Times New Roman" w:cs="Times New Roman"/>
          <w:sz w:val="24"/>
          <w:szCs w:val="24"/>
        </w:rPr>
      </w:pPr>
    </w:p>
    <w:p w:rsidR="001F00BE" w:rsidRDefault="001F00BE" w:rsidP="001F00BE">
      <w:pPr>
        <w:spacing w:line="480" w:lineRule="auto"/>
        <w:rPr>
          <w:rFonts w:ascii="Times New Roman" w:hAnsi="Times New Roman" w:cs="Times New Roman"/>
          <w:sz w:val="24"/>
          <w:szCs w:val="24"/>
        </w:rPr>
      </w:pPr>
    </w:p>
    <w:p w:rsidR="003509E5" w:rsidRDefault="003509E5" w:rsidP="001F00BE">
      <w:pPr>
        <w:spacing w:line="480" w:lineRule="auto"/>
        <w:rPr>
          <w:rFonts w:ascii="Times New Roman" w:hAnsi="Times New Roman" w:cs="Times New Roman"/>
          <w:sz w:val="24"/>
          <w:szCs w:val="24"/>
        </w:rPr>
      </w:pPr>
    </w:p>
    <w:p w:rsidR="003509E5" w:rsidRPr="00BF790C" w:rsidRDefault="003509E5" w:rsidP="001F00BE">
      <w:pPr>
        <w:spacing w:line="480" w:lineRule="auto"/>
        <w:rPr>
          <w:rFonts w:ascii="Times New Roman" w:hAnsi="Times New Roman" w:cs="Times New Roman"/>
          <w:sz w:val="24"/>
          <w:szCs w:val="24"/>
        </w:rPr>
      </w:pPr>
    </w:p>
    <w:p w:rsidR="008E0A08" w:rsidRPr="00BF790C" w:rsidRDefault="00BE1A6B" w:rsidP="001F00B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7C0207" w:rsidRDefault="008E0A08" w:rsidP="001F00BE">
      <w:pPr>
        <w:spacing w:line="480" w:lineRule="auto"/>
        <w:jc w:val="both"/>
        <w:rPr>
          <w:rFonts w:ascii="Times New Roman" w:hAnsi="Times New Roman" w:cs="Times New Roman"/>
          <w:sz w:val="24"/>
          <w:szCs w:val="24"/>
        </w:rPr>
      </w:pPr>
      <w:proofErr w:type="gramStart"/>
      <w:r w:rsidRPr="00BF790C">
        <w:rPr>
          <w:rFonts w:ascii="Times New Roman" w:hAnsi="Times New Roman" w:cs="Times New Roman"/>
          <w:sz w:val="24"/>
          <w:szCs w:val="24"/>
        </w:rPr>
        <w:t>Aaronson, Stephanie, and Julia Coronado.</w:t>
      </w:r>
      <w:proofErr w:type="gramEnd"/>
      <w:r w:rsidRPr="00BF790C">
        <w:rPr>
          <w:rFonts w:ascii="Times New Roman" w:hAnsi="Times New Roman" w:cs="Times New Roman"/>
          <w:sz w:val="24"/>
          <w:szCs w:val="24"/>
        </w:rPr>
        <w:t xml:space="preserve"> 2005. </w:t>
      </w:r>
      <w:r w:rsidRPr="00BF790C">
        <w:rPr>
          <w:rFonts w:ascii="Times New Roman" w:hAnsi="Times New Roman" w:cs="Times New Roman"/>
          <w:iCs/>
          <w:sz w:val="24"/>
          <w:szCs w:val="24"/>
        </w:rPr>
        <w:t xml:space="preserve">Are firms or workers behind the shift away </w:t>
      </w:r>
      <w:r w:rsidR="00E6132B">
        <w:rPr>
          <w:rFonts w:ascii="Times New Roman" w:hAnsi="Times New Roman" w:cs="Times New Roman"/>
          <w:sz w:val="24"/>
          <w:szCs w:val="24"/>
        </w:rPr>
        <w:t>from DB pension plan?</w:t>
      </w:r>
      <w:r w:rsidRPr="00BF790C">
        <w:rPr>
          <w:rFonts w:ascii="Times New Roman" w:hAnsi="Times New Roman" w:cs="Times New Roman"/>
          <w:sz w:val="24"/>
          <w:szCs w:val="24"/>
        </w:rPr>
        <w:t xml:space="preserve"> </w:t>
      </w:r>
      <w:r w:rsidRPr="00E6132B">
        <w:rPr>
          <w:rFonts w:ascii="Times New Roman" w:hAnsi="Times New Roman" w:cs="Times New Roman"/>
          <w:i/>
          <w:sz w:val="24"/>
          <w:szCs w:val="24"/>
        </w:rPr>
        <w:t>Board of Governors of the Federal Reserve System (U.S.), Finance and Economics Discussion Series</w:t>
      </w:r>
      <w:r w:rsidRPr="00BF790C">
        <w:rPr>
          <w:rFonts w:ascii="Times New Roman" w:hAnsi="Times New Roman" w:cs="Times New Roman"/>
          <w:sz w:val="24"/>
          <w:szCs w:val="24"/>
        </w:rPr>
        <w:t>: 2005-17.</w:t>
      </w:r>
    </w:p>
    <w:p w:rsidR="001F00BE" w:rsidRPr="00BF790C" w:rsidRDefault="001F00BE" w:rsidP="001F00BE">
      <w:pPr>
        <w:spacing w:line="480" w:lineRule="auto"/>
        <w:jc w:val="both"/>
        <w:rPr>
          <w:rFonts w:ascii="Times New Roman" w:hAnsi="Times New Roman" w:cs="Times New Roman"/>
          <w:sz w:val="24"/>
          <w:szCs w:val="24"/>
        </w:rPr>
      </w:pPr>
    </w:p>
    <w:p w:rsidR="00870A89" w:rsidRDefault="00D64DDB" w:rsidP="001F00BE">
      <w:pPr>
        <w:spacing w:line="480" w:lineRule="auto"/>
        <w:jc w:val="both"/>
        <w:rPr>
          <w:rFonts w:ascii="Times New Roman" w:hAnsi="Times New Roman" w:cs="Times New Roman"/>
          <w:sz w:val="24"/>
          <w:szCs w:val="24"/>
        </w:rPr>
      </w:pPr>
      <w:proofErr w:type="gramStart"/>
      <w:r w:rsidRPr="00BF790C">
        <w:rPr>
          <w:rFonts w:ascii="Times New Roman" w:hAnsi="Times New Roman" w:cs="Times New Roman"/>
          <w:sz w:val="24"/>
          <w:szCs w:val="24"/>
        </w:rPr>
        <w:t>Even, William E. a</w:t>
      </w:r>
      <w:r w:rsidR="00E6132B">
        <w:rPr>
          <w:rFonts w:ascii="Times New Roman" w:hAnsi="Times New Roman" w:cs="Times New Roman"/>
          <w:sz w:val="24"/>
          <w:szCs w:val="24"/>
        </w:rPr>
        <w:t>nd David A. Macpherson.</w:t>
      </w:r>
      <w:proofErr w:type="gramEnd"/>
      <w:r w:rsidR="00E6132B">
        <w:rPr>
          <w:rFonts w:ascii="Times New Roman" w:hAnsi="Times New Roman" w:cs="Times New Roman"/>
          <w:sz w:val="24"/>
          <w:szCs w:val="24"/>
        </w:rPr>
        <w:t xml:space="preserve"> 2008. </w:t>
      </w:r>
      <w:r w:rsidR="00803A19" w:rsidRPr="00BF790C">
        <w:rPr>
          <w:rFonts w:ascii="Times New Roman" w:hAnsi="Times New Roman" w:cs="Times New Roman"/>
          <w:sz w:val="24"/>
          <w:szCs w:val="24"/>
        </w:rPr>
        <w:t xml:space="preserve">Improving pension coverage at small firms </w:t>
      </w:r>
      <w:r w:rsidRPr="00BF790C">
        <w:rPr>
          <w:rFonts w:ascii="Times New Roman" w:hAnsi="Times New Roman" w:cs="Times New Roman"/>
          <w:sz w:val="24"/>
          <w:szCs w:val="24"/>
        </w:rPr>
        <w:t xml:space="preserve">in </w:t>
      </w:r>
      <w:r w:rsidR="00E6132B" w:rsidRPr="00BF790C">
        <w:rPr>
          <w:rFonts w:ascii="Times New Roman" w:hAnsi="Times New Roman" w:cs="Times New Roman"/>
          <w:sz w:val="24"/>
          <w:szCs w:val="24"/>
        </w:rPr>
        <w:t xml:space="preserve">Diana </w:t>
      </w:r>
      <w:proofErr w:type="spellStart"/>
      <w:r w:rsidR="00E6132B" w:rsidRPr="00BF790C">
        <w:rPr>
          <w:rFonts w:ascii="Times New Roman" w:hAnsi="Times New Roman" w:cs="Times New Roman"/>
          <w:sz w:val="24"/>
          <w:szCs w:val="24"/>
        </w:rPr>
        <w:t>Furchtgott</w:t>
      </w:r>
      <w:proofErr w:type="spellEnd"/>
      <w:r w:rsidR="00E6132B" w:rsidRPr="00BF790C">
        <w:rPr>
          <w:rFonts w:ascii="Times New Roman" w:hAnsi="Times New Roman" w:cs="Times New Roman"/>
          <w:sz w:val="24"/>
          <w:szCs w:val="24"/>
        </w:rPr>
        <w:t>-Roth</w:t>
      </w:r>
      <w:r w:rsidR="00E6132B">
        <w:rPr>
          <w:rFonts w:ascii="Times New Roman" w:hAnsi="Times New Roman" w:cs="Times New Roman"/>
          <w:sz w:val="24"/>
          <w:szCs w:val="24"/>
        </w:rPr>
        <w:t xml:space="preserve"> (Ed.), </w:t>
      </w:r>
      <w:r w:rsidRPr="00E6132B">
        <w:rPr>
          <w:rFonts w:ascii="Times New Roman" w:hAnsi="Times New Roman" w:cs="Times New Roman"/>
          <w:i/>
          <w:sz w:val="24"/>
          <w:szCs w:val="24"/>
        </w:rPr>
        <w:t>Overcomin</w:t>
      </w:r>
      <w:r w:rsidR="00E6132B" w:rsidRPr="00E6132B">
        <w:rPr>
          <w:rFonts w:ascii="Times New Roman" w:hAnsi="Times New Roman" w:cs="Times New Roman"/>
          <w:i/>
          <w:sz w:val="24"/>
          <w:szCs w:val="24"/>
        </w:rPr>
        <w:t>g Barriers to Entrepreneurship</w:t>
      </w:r>
      <w:r w:rsidR="00803A19">
        <w:rPr>
          <w:rFonts w:ascii="Times New Roman" w:hAnsi="Times New Roman" w:cs="Times New Roman"/>
          <w:i/>
          <w:sz w:val="24"/>
          <w:szCs w:val="24"/>
        </w:rPr>
        <w:t xml:space="preserve"> in the United States</w:t>
      </w:r>
      <w:r w:rsidRPr="00BF790C">
        <w:rPr>
          <w:rFonts w:ascii="Times New Roman" w:hAnsi="Times New Roman" w:cs="Times New Roman"/>
          <w:sz w:val="24"/>
          <w:szCs w:val="24"/>
        </w:rPr>
        <w:t xml:space="preserve">, </w:t>
      </w:r>
      <w:r w:rsidR="00803A19">
        <w:rPr>
          <w:rFonts w:ascii="Times New Roman" w:hAnsi="Times New Roman" w:cs="Times New Roman"/>
          <w:sz w:val="24"/>
          <w:szCs w:val="24"/>
        </w:rPr>
        <w:t xml:space="preserve">Washington, D.C.: </w:t>
      </w:r>
      <w:proofErr w:type="spellStart"/>
      <w:r w:rsidR="00803A19" w:rsidRPr="00BF790C">
        <w:rPr>
          <w:rFonts w:ascii="Times New Roman" w:hAnsi="Times New Roman" w:cs="Times New Roman"/>
          <w:sz w:val="24"/>
          <w:szCs w:val="24"/>
        </w:rPr>
        <w:t>Rowman</w:t>
      </w:r>
      <w:proofErr w:type="spellEnd"/>
      <w:r w:rsidR="00803A19" w:rsidRPr="00BF790C">
        <w:rPr>
          <w:rFonts w:ascii="Times New Roman" w:hAnsi="Times New Roman" w:cs="Times New Roman"/>
          <w:sz w:val="24"/>
          <w:szCs w:val="24"/>
        </w:rPr>
        <w:t xml:space="preserve"> &amp; Littlefield</w:t>
      </w:r>
      <w:r w:rsidR="00803A19">
        <w:rPr>
          <w:rFonts w:ascii="Times New Roman" w:hAnsi="Times New Roman" w:cs="Times New Roman"/>
          <w:sz w:val="24"/>
          <w:szCs w:val="24"/>
        </w:rPr>
        <w:t>.</w:t>
      </w:r>
    </w:p>
    <w:p w:rsidR="001F00BE" w:rsidRPr="00BF790C" w:rsidRDefault="001F00BE" w:rsidP="001F00BE">
      <w:pPr>
        <w:spacing w:line="480" w:lineRule="auto"/>
        <w:jc w:val="both"/>
        <w:rPr>
          <w:rFonts w:ascii="Times New Roman" w:hAnsi="Times New Roman" w:cs="Times New Roman"/>
          <w:sz w:val="24"/>
          <w:szCs w:val="24"/>
        </w:rPr>
      </w:pPr>
    </w:p>
    <w:p w:rsidR="003D459A" w:rsidRDefault="00803A19" w:rsidP="001F00BE">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Even, </w:t>
      </w:r>
      <w:r w:rsidR="008E0A08" w:rsidRPr="00BF790C">
        <w:rPr>
          <w:rFonts w:ascii="Times New Roman" w:hAnsi="Times New Roman" w:cs="Times New Roman"/>
          <w:sz w:val="24"/>
          <w:szCs w:val="24"/>
        </w:rPr>
        <w:t>William E</w:t>
      </w:r>
      <w:r>
        <w:rPr>
          <w:rFonts w:ascii="Times New Roman" w:hAnsi="Times New Roman" w:cs="Times New Roman"/>
          <w:sz w:val="24"/>
          <w:szCs w:val="24"/>
        </w:rPr>
        <w:t>. and</w:t>
      </w:r>
      <w:r w:rsidR="008E0A08" w:rsidRPr="00BF790C">
        <w:rPr>
          <w:rFonts w:ascii="Times New Roman" w:hAnsi="Times New Roman" w:cs="Times New Roman"/>
          <w:sz w:val="24"/>
          <w:szCs w:val="24"/>
        </w:rPr>
        <w:t xml:space="preserve"> </w:t>
      </w:r>
      <w:r>
        <w:rPr>
          <w:rFonts w:ascii="Times New Roman" w:hAnsi="Times New Roman" w:cs="Times New Roman"/>
          <w:sz w:val="24"/>
          <w:szCs w:val="24"/>
        </w:rPr>
        <w:t>David A. Macpherson</w:t>
      </w:r>
      <w:r w:rsidR="008E0A08" w:rsidRPr="00BF790C">
        <w:rPr>
          <w:rFonts w:ascii="Times New Roman" w:hAnsi="Times New Roman" w:cs="Times New Roman"/>
          <w:sz w:val="24"/>
          <w:szCs w:val="24"/>
        </w:rPr>
        <w:t>.</w:t>
      </w:r>
      <w:proofErr w:type="gramEnd"/>
      <w:r w:rsidR="007C0207" w:rsidRPr="00BF790C">
        <w:rPr>
          <w:rFonts w:ascii="Times New Roman" w:hAnsi="Times New Roman" w:cs="Times New Roman"/>
          <w:sz w:val="24"/>
          <w:szCs w:val="24"/>
        </w:rPr>
        <w:t xml:space="preserve"> 2000</w:t>
      </w:r>
      <w:r>
        <w:rPr>
          <w:rFonts w:ascii="Times New Roman" w:hAnsi="Times New Roman" w:cs="Times New Roman"/>
          <w:sz w:val="24"/>
          <w:szCs w:val="24"/>
        </w:rPr>
        <w:t xml:space="preserve">. </w:t>
      </w:r>
      <w:r w:rsidRPr="00BF790C">
        <w:rPr>
          <w:rFonts w:ascii="Times New Roman" w:hAnsi="Times New Roman" w:cs="Times New Roman"/>
          <w:sz w:val="24"/>
          <w:szCs w:val="24"/>
        </w:rPr>
        <w:t>The changing di</w:t>
      </w:r>
      <w:r>
        <w:rPr>
          <w:rFonts w:ascii="Times New Roman" w:hAnsi="Times New Roman" w:cs="Times New Roman"/>
          <w:sz w:val="24"/>
          <w:szCs w:val="24"/>
        </w:rPr>
        <w:t>stribution of pension coverage.</w:t>
      </w:r>
      <w:r w:rsidR="008E0A08" w:rsidRPr="00BF790C">
        <w:rPr>
          <w:rFonts w:ascii="Times New Roman" w:hAnsi="Times New Roman" w:cs="Times New Roman"/>
          <w:sz w:val="24"/>
          <w:szCs w:val="24"/>
        </w:rPr>
        <w:t xml:space="preserve">  </w:t>
      </w:r>
      <w:proofErr w:type="gramStart"/>
      <w:r w:rsidR="008E0A08" w:rsidRPr="00BF790C">
        <w:rPr>
          <w:rFonts w:ascii="Times New Roman" w:hAnsi="Times New Roman" w:cs="Times New Roman"/>
          <w:i/>
          <w:sz w:val="24"/>
          <w:szCs w:val="24"/>
        </w:rPr>
        <w:t>Industrial Relations.</w:t>
      </w:r>
      <w:proofErr w:type="gramEnd"/>
      <w:r w:rsidR="008E0A08" w:rsidRPr="00BF790C">
        <w:rPr>
          <w:rFonts w:ascii="Times New Roman" w:hAnsi="Times New Roman" w:cs="Times New Roman"/>
          <w:i/>
          <w:sz w:val="24"/>
          <w:szCs w:val="24"/>
        </w:rPr>
        <w:t xml:space="preserve"> </w:t>
      </w:r>
      <w:r w:rsidR="008E0A08" w:rsidRPr="00BF790C">
        <w:rPr>
          <w:rFonts w:ascii="Times New Roman" w:hAnsi="Times New Roman" w:cs="Times New Roman"/>
          <w:sz w:val="24"/>
          <w:szCs w:val="24"/>
        </w:rPr>
        <w:t>Vol.</w:t>
      </w:r>
      <w:r w:rsidR="008E0A08" w:rsidRPr="00BF790C">
        <w:rPr>
          <w:rFonts w:ascii="Times New Roman" w:hAnsi="Times New Roman" w:cs="Times New Roman"/>
          <w:i/>
          <w:sz w:val="24"/>
          <w:szCs w:val="24"/>
        </w:rPr>
        <w:t xml:space="preserve"> </w:t>
      </w:r>
      <w:r w:rsidR="008E0A08" w:rsidRPr="00BF790C">
        <w:rPr>
          <w:rFonts w:ascii="Times New Roman" w:hAnsi="Times New Roman" w:cs="Times New Roman"/>
          <w:sz w:val="24"/>
          <w:szCs w:val="24"/>
        </w:rPr>
        <w:t>3</w:t>
      </w:r>
      <w:r>
        <w:rPr>
          <w:rFonts w:ascii="Times New Roman" w:hAnsi="Times New Roman" w:cs="Times New Roman"/>
          <w:sz w:val="24"/>
          <w:szCs w:val="24"/>
        </w:rPr>
        <w:t>9, No. 2:</w:t>
      </w:r>
      <w:r w:rsidR="002568BE" w:rsidRPr="00BF790C">
        <w:rPr>
          <w:rFonts w:ascii="Times New Roman" w:hAnsi="Times New Roman" w:cs="Times New Roman"/>
          <w:sz w:val="24"/>
          <w:szCs w:val="24"/>
        </w:rPr>
        <w:t xml:space="preserve"> 199-227</w:t>
      </w:r>
      <w:r>
        <w:rPr>
          <w:rFonts w:ascii="Times New Roman" w:hAnsi="Times New Roman" w:cs="Times New Roman"/>
          <w:sz w:val="24"/>
          <w:szCs w:val="24"/>
        </w:rPr>
        <w:t>.</w:t>
      </w:r>
    </w:p>
    <w:p w:rsidR="001F00BE" w:rsidRPr="00BF790C" w:rsidRDefault="001F00BE" w:rsidP="001F00BE">
      <w:pPr>
        <w:spacing w:line="480" w:lineRule="auto"/>
        <w:jc w:val="both"/>
        <w:rPr>
          <w:rFonts w:ascii="Times New Roman" w:hAnsi="Times New Roman" w:cs="Times New Roman"/>
          <w:sz w:val="24"/>
          <w:szCs w:val="24"/>
        </w:rPr>
      </w:pPr>
    </w:p>
    <w:p w:rsidR="002568BE" w:rsidRDefault="002568BE" w:rsidP="001F00BE">
      <w:pPr>
        <w:spacing w:line="480" w:lineRule="auto"/>
        <w:jc w:val="both"/>
        <w:rPr>
          <w:rFonts w:ascii="Times New Roman" w:hAnsi="Times New Roman" w:cs="Times New Roman"/>
          <w:i/>
          <w:iCs/>
          <w:sz w:val="24"/>
          <w:szCs w:val="24"/>
        </w:rPr>
      </w:pPr>
      <w:r w:rsidRPr="00BF790C">
        <w:rPr>
          <w:rFonts w:ascii="Times New Roman" w:hAnsi="Times New Roman" w:cs="Times New Roman"/>
          <w:sz w:val="24"/>
          <w:szCs w:val="24"/>
        </w:rPr>
        <w:t xml:space="preserve">Even, William </w:t>
      </w:r>
      <w:proofErr w:type="gramStart"/>
      <w:r w:rsidRPr="00BF790C">
        <w:rPr>
          <w:rFonts w:ascii="Times New Roman" w:hAnsi="Times New Roman" w:cs="Times New Roman"/>
          <w:sz w:val="24"/>
          <w:szCs w:val="24"/>
        </w:rPr>
        <w:t>E.,</w:t>
      </w:r>
      <w:proofErr w:type="gramEnd"/>
      <w:r w:rsidRPr="00BF790C">
        <w:rPr>
          <w:rFonts w:ascii="Times New Roman" w:hAnsi="Times New Roman" w:cs="Times New Roman"/>
          <w:sz w:val="24"/>
          <w:szCs w:val="24"/>
        </w:rPr>
        <w:t xml:space="preserve"> and David A. Macpherson. 1994. Why did male pension coverage decline in the 1980s?</w:t>
      </w:r>
      <w:r w:rsidR="00803A19">
        <w:rPr>
          <w:rFonts w:ascii="Times New Roman" w:hAnsi="Times New Roman" w:cs="Times New Roman"/>
          <w:sz w:val="24"/>
          <w:szCs w:val="24"/>
        </w:rPr>
        <w:t xml:space="preserve"> </w:t>
      </w:r>
      <w:r w:rsidRPr="00BF790C">
        <w:rPr>
          <w:rFonts w:ascii="Times New Roman" w:hAnsi="Times New Roman" w:cs="Times New Roman"/>
          <w:sz w:val="24"/>
          <w:szCs w:val="24"/>
        </w:rPr>
        <w:t xml:space="preserve"> </w:t>
      </w:r>
      <w:r w:rsidRPr="00BF790C">
        <w:rPr>
          <w:rFonts w:ascii="Times New Roman" w:hAnsi="Times New Roman" w:cs="Times New Roman"/>
          <w:i/>
          <w:iCs/>
          <w:sz w:val="24"/>
          <w:szCs w:val="24"/>
        </w:rPr>
        <w:t>Industrial and Lab</w:t>
      </w:r>
      <w:r w:rsidR="009D71C8" w:rsidRPr="00BF790C">
        <w:rPr>
          <w:rFonts w:ascii="Times New Roman" w:hAnsi="Times New Roman" w:cs="Times New Roman"/>
          <w:i/>
          <w:iCs/>
          <w:sz w:val="24"/>
          <w:szCs w:val="24"/>
        </w:rPr>
        <w:t xml:space="preserve">or Relations Review </w:t>
      </w:r>
      <w:r w:rsidR="009D71C8" w:rsidRPr="00803A19">
        <w:rPr>
          <w:rFonts w:ascii="Times New Roman" w:hAnsi="Times New Roman" w:cs="Times New Roman"/>
          <w:iCs/>
          <w:sz w:val="24"/>
          <w:szCs w:val="24"/>
        </w:rPr>
        <w:t>47, (3) (04</w:t>
      </w:r>
      <w:r w:rsidRPr="00803A19">
        <w:rPr>
          <w:rFonts w:ascii="Times New Roman" w:hAnsi="Times New Roman" w:cs="Times New Roman"/>
          <w:iCs/>
          <w:sz w:val="24"/>
          <w:szCs w:val="24"/>
        </w:rPr>
        <w:t>): 439-53</w:t>
      </w:r>
      <w:r w:rsidRPr="00BF790C">
        <w:rPr>
          <w:rFonts w:ascii="Times New Roman" w:hAnsi="Times New Roman" w:cs="Times New Roman"/>
          <w:i/>
          <w:iCs/>
          <w:sz w:val="24"/>
          <w:szCs w:val="24"/>
        </w:rPr>
        <w:t>.</w:t>
      </w:r>
    </w:p>
    <w:p w:rsidR="001F00BE" w:rsidRPr="00BF790C" w:rsidRDefault="001F00BE" w:rsidP="001F00BE">
      <w:pPr>
        <w:spacing w:line="480" w:lineRule="auto"/>
        <w:jc w:val="both"/>
        <w:rPr>
          <w:rFonts w:ascii="Times New Roman" w:hAnsi="Times New Roman" w:cs="Times New Roman"/>
          <w:i/>
          <w:iCs/>
          <w:sz w:val="24"/>
          <w:szCs w:val="24"/>
        </w:rPr>
      </w:pPr>
    </w:p>
    <w:p w:rsidR="002568BE" w:rsidRDefault="002568BE" w:rsidP="001F00BE">
      <w:pPr>
        <w:spacing w:line="480" w:lineRule="auto"/>
        <w:jc w:val="both"/>
        <w:rPr>
          <w:rFonts w:ascii="Times New Roman" w:hAnsi="Times New Roman" w:cs="Times New Roman"/>
          <w:sz w:val="24"/>
          <w:szCs w:val="24"/>
        </w:rPr>
      </w:pPr>
      <w:proofErr w:type="gramStart"/>
      <w:r w:rsidRPr="00BF790C">
        <w:rPr>
          <w:rFonts w:ascii="Times New Roman" w:hAnsi="Times New Roman" w:cs="Times New Roman"/>
          <w:sz w:val="24"/>
          <w:szCs w:val="24"/>
        </w:rPr>
        <w:t>Even, William E. and David A. Macpherson</w:t>
      </w:r>
      <w:r w:rsidR="009D71C8" w:rsidRPr="00BF790C">
        <w:rPr>
          <w:rFonts w:ascii="Times New Roman" w:hAnsi="Times New Roman" w:cs="Times New Roman"/>
          <w:sz w:val="24"/>
          <w:szCs w:val="24"/>
        </w:rPr>
        <w:t>.</w:t>
      </w:r>
      <w:proofErr w:type="gramEnd"/>
      <w:r w:rsidR="009D71C8" w:rsidRPr="00BF790C">
        <w:rPr>
          <w:rFonts w:ascii="Times New Roman" w:hAnsi="Times New Roman" w:cs="Times New Roman"/>
          <w:sz w:val="24"/>
          <w:szCs w:val="24"/>
        </w:rPr>
        <w:t xml:space="preserve"> 1990. </w:t>
      </w:r>
      <w:r w:rsidRPr="00BF790C">
        <w:rPr>
          <w:rFonts w:ascii="Times New Roman" w:hAnsi="Times New Roman" w:cs="Times New Roman"/>
          <w:sz w:val="24"/>
          <w:szCs w:val="24"/>
        </w:rPr>
        <w:t>Plant Si</w:t>
      </w:r>
      <w:r w:rsidR="00803A19">
        <w:rPr>
          <w:rFonts w:ascii="Times New Roman" w:hAnsi="Times New Roman" w:cs="Times New Roman"/>
          <w:sz w:val="24"/>
          <w:szCs w:val="24"/>
        </w:rPr>
        <w:t>ze and the Decline of Unionism,</w:t>
      </w:r>
      <w:r w:rsidRPr="00BF790C">
        <w:rPr>
          <w:rFonts w:ascii="Times New Roman" w:hAnsi="Times New Roman" w:cs="Times New Roman"/>
          <w:sz w:val="24"/>
          <w:szCs w:val="24"/>
        </w:rPr>
        <w:t xml:space="preserve"> </w:t>
      </w:r>
      <w:r w:rsidRPr="00BF790C">
        <w:rPr>
          <w:rFonts w:ascii="Times New Roman" w:hAnsi="Times New Roman" w:cs="Times New Roman"/>
          <w:i/>
          <w:iCs/>
          <w:sz w:val="24"/>
          <w:szCs w:val="24"/>
        </w:rPr>
        <w:t xml:space="preserve">Economics </w:t>
      </w:r>
      <w:proofErr w:type="gramStart"/>
      <w:r w:rsidRPr="00BF790C">
        <w:rPr>
          <w:rFonts w:ascii="Times New Roman" w:hAnsi="Times New Roman" w:cs="Times New Roman"/>
          <w:i/>
          <w:iCs/>
          <w:sz w:val="24"/>
          <w:szCs w:val="24"/>
        </w:rPr>
        <w:t xml:space="preserve">Letters </w:t>
      </w:r>
      <w:r w:rsidR="00803A19">
        <w:rPr>
          <w:rFonts w:ascii="Times New Roman" w:hAnsi="Times New Roman" w:cs="Times New Roman"/>
          <w:i/>
          <w:iCs/>
          <w:sz w:val="24"/>
          <w:szCs w:val="24"/>
        </w:rPr>
        <w:t xml:space="preserve"> </w:t>
      </w:r>
      <w:r w:rsidRPr="00803A19">
        <w:rPr>
          <w:rFonts w:ascii="Times New Roman" w:hAnsi="Times New Roman" w:cs="Times New Roman"/>
          <w:iCs/>
          <w:sz w:val="24"/>
          <w:szCs w:val="24"/>
        </w:rPr>
        <w:t>32</w:t>
      </w:r>
      <w:proofErr w:type="gramEnd"/>
      <w:r w:rsidRPr="00803A19">
        <w:rPr>
          <w:rFonts w:ascii="Times New Roman" w:hAnsi="Times New Roman" w:cs="Times New Roman"/>
          <w:iCs/>
          <w:sz w:val="24"/>
          <w:szCs w:val="24"/>
        </w:rPr>
        <w:t>:</w:t>
      </w:r>
      <w:r w:rsidR="00803A19">
        <w:rPr>
          <w:rFonts w:ascii="Times New Roman" w:hAnsi="Times New Roman" w:cs="Times New Roman"/>
          <w:iCs/>
          <w:sz w:val="24"/>
          <w:szCs w:val="24"/>
        </w:rPr>
        <w:t xml:space="preserve"> </w:t>
      </w:r>
      <w:r w:rsidRPr="00803A19">
        <w:rPr>
          <w:rFonts w:ascii="Times New Roman" w:hAnsi="Times New Roman" w:cs="Times New Roman"/>
          <w:iCs/>
          <w:sz w:val="24"/>
          <w:szCs w:val="24"/>
        </w:rPr>
        <w:t>393-98</w:t>
      </w:r>
      <w:r w:rsidRPr="00BF790C">
        <w:rPr>
          <w:rFonts w:ascii="Times New Roman" w:hAnsi="Times New Roman" w:cs="Times New Roman"/>
          <w:i/>
          <w:iCs/>
          <w:sz w:val="24"/>
          <w:szCs w:val="24"/>
        </w:rPr>
        <w:t>.</w:t>
      </w:r>
      <w:r w:rsidRPr="00BF790C">
        <w:rPr>
          <w:rFonts w:ascii="Times New Roman" w:hAnsi="Times New Roman" w:cs="Times New Roman"/>
          <w:sz w:val="24"/>
          <w:szCs w:val="24"/>
        </w:rPr>
        <w:t xml:space="preserve"> </w:t>
      </w:r>
    </w:p>
    <w:p w:rsidR="001F00BE" w:rsidRPr="00BF790C" w:rsidRDefault="001F00BE" w:rsidP="001F00BE">
      <w:pPr>
        <w:spacing w:line="480" w:lineRule="auto"/>
        <w:jc w:val="both"/>
        <w:rPr>
          <w:rFonts w:ascii="Times New Roman" w:hAnsi="Times New Roman" w:cs="Times New Roman"/>
          <w:sz w:val="24"/>
          <w:szCs w:val="24"/>
        </w:rPr>
      </w:pPr>
    </w:p>
    <w:p w:rsidR="00803A19" w:rsidRDefault="00803A19" w:rsidP="001F00BE">
      <w:pPr>
        <w:spacing w:line="480" w:lineRule="auto"/>
        <w:jc w:val="both"/>
        <w:rPr>
          <w:rFonts w:ascii="Times New Roman" w:hAnsi="Times New Roman" w:cs="Times New Roman"/>
          <w:i/>
          <w:iCs/>
          <w:sz w:val="24"/>
          <w:szCs w:val="24"/>
        </w:rPr>
      </w:pPr>
      <w:r w:rsidRPr="00BF790C">
        <w:rPr>
          <w:rFonts w:ascii="Times New Roman" w:hAnsi="Times New Roman" w:cs="Times New Roman"/>
          <w:sz w:val="24"/>
          <w:szCs w:val="24"/>
        </w:rPr>
        <w:t>Freeman, Richard. 1985. Union</w:t>
      </w:r>
      <w:r>
        <w:rPr>
          <w:rFonts w:ascii="Times New Roman" w:hAnsi="Times New Roman" w:cs="Times New Roman"/>
          <w:sz w:val="24"/>
          <w:szCs w:val="24"/>
        </w:rPr>
        <w:t>s, pensions, and pension funds.</w:t>
      </w:r>
      <w:r w:rsidRPr="00BF790C">
        <w:rPr>
          <w:rFonts w:ascii="Times New Roman" w:hAnsi="Times New Roman" w:cs="Times New Roman"/>
          <w:sz w:val="24"/>
          <w:szCs w:val="24"/>
        </w:rPr>
        <w:t xml:space="preserve"> </w:t>
      </w:r>
      <w:proofErr w:type="gramStart"/>
      <w:r w:rsidRPr="00BF790C">
        <w:rPr>
          <w:rFonts w:ascii="Times New Roman" w:hAnsi="Times New Roman" w:cs="Times New Roman"/>
          <w:sz w:val="24"/>
          <w:szCs w:val="24"/>
        </w:rPr>
        <w:t>in</w:t>
      </w:r>
      <w:proofErr w:type="gramEnd"/>
      <w:r w:rsidRPr="00BF790C">
        <w:rPr>
          <w:rFonts w:ascii="Times New Roman" w:hAnsi="Times New Roman" w:cs="Times New Roman"/>
          <w:sz w:val="24"/>
          <w:szCs w:val="24"/>
        </w:rPr>
        <w:t xml:space="preserve"> </w:t>
      </w:r>
      <w:r w:rsidRPr="00803A19">
        <w:rPr>
          <w:rFonts w:ascii="Times New Roman" w:hAnsi="Times New Roman" w:cs="Times New Roman"/>
          <w:iCs/>
          <w:sz w:val="24"/>
          <w:szCs w:val="24"/>
        </w:rPr>
        <w:t>David A. Wise</w:t>
      </w:r>
      <w:r>
        <w:rPr>
          <w:rFonts w:ascii="Times New Roman" w:hAnsi="Times New Roman" w:cs="Times New Roman"/>
          <w:iCs/>
          <w:sz w:val="24"/>
          <w:szCs w:val="24"/>
        </w:rPr>
        <w:t xml:space="preserve"> (Ed.),</w:t>
      </w:r>
      <w:r w:rsidRPr="00BF790C">
        <w:rPr>
          <w:rFonts w:ascii="Times New Roman" w:hAnsi="Times New Roman" w:cs="Times New Roman"/>
          <w:i/>
          <w:iCs/>
          <w:sz w:val="24"/>
          <w:szCs w:val="24"/>
        </w:rPr>
        <w:t xml:space="preserve"> Pensions, Labor, and Individual Choice, </w:t>
      </w:r>
      <w:r w:rsidRPr="00803A19">
        <w:rPr>
          <w:rFonts w:ascii="Times New Roman" w:hAnsi="Times New Roman" w:cs="Times New Roman"/>
          <w:iCs/>
          <w:sz w:val="24"/>
          <w:szCs w:val="24"/>
        </w:rPr>
        <w:t>Chicago: University of Chicago Press</w:t>
      </w:r>
      <w:r w:rsidRPr="00BF790C">
        <w:rPr>
          <w:rFonts w:ascii="Times New Roman" w:hAnsi="Times New Roman" w:cs="Times New Roman"/>
          <w:i/>
          <w:iCs/>
          <w:sz w:val="24"/>
          <w:szCs w:val="24"/>
        </w:rPr>
        <w:t>.</w:t>
      </w:r>
    </w:p>
    <w:p w:rsidR="001F00BE" w:rsidRPr="00BF790C" w:rsidRDefault="001F00BE" w:rsidP="001F00BE">
      <w:pPr>
        <w:spacing w:line="480" w:lineRule="auto"/>
        <w:jc w:val="both"/>
        <w:rPr>
          <w:rFonts w:ascii="Times New Roman" w:hAnsi="Times New Roman" w:cs="Times New Roman"/>
          <w:i/>
          <w:iCs/>
          <w:sz w:val="24"/>
          <w:szCs w:val="24"/>
        </w:rPr>
      </w:pPr>
    </w:p>
    <w:p w:rsidR="006C0553" w:rsidRDefault="00803A19" w:rsidP="001F00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Freeman, Richard B. 1980. </w:t>
      </w:r>
      <w:proofErr w:type="gramStart"/>
      <w:r w:rsidRPr="00BF790C">
        <w:rPr>
          <w:rFonts w:ascii="Times New Roman" w:hAnsi="Times New Roman" w:cs="Times New Roman"/>
          <w:sz w:val="24"/>
          <w:szCs w:val="24"/>
        </w:rPr>
        <w:t>Effect of unionism on</w:t>
      </w:r>
      <w:r>
        <w:rPr>
          <w:rFonts w:ascii="Times New Roman" w:hAnsi="Times New Roman" w:cs="Times New Roman"/>
          <w:sz w:val="24"/>
          <w:szCs w:val="24"/>
        </w:rPr>
        <w:t xml:space="preserve"> fringe benefits.</w:t>
      </w:r>
      <w:proofErr w:type="gramEnd"/>
      <w:r w:rsidR="00F6310E" w:rsidRPr="00BF790C">
        <w:rPr>
          <w:rFonts w:ascii="Times New Roman" w:hAnsi="Times New Roman" w:cs="Times New Roman"/>
          <w:sz w:val="24"/>
          <w:szCs w:val="24"/>
        </w:rPr>
        <w:t xml:space="preserve"> </w:t>
      </w:r>
      <w:r w:rsidR="009D71C8" w:rsidRPr="00BF790C">
        <w:rPr>
          <w:rFonts w:ascii="Times New Roman" w:hAnsi="Times New Roman" w:cs="Times New Roman"/>
          <w:i/>
          <w:sz w:val="24"/>
          <w:szCs w:val="24"/>
        </w:rPr>
        <w:t xml:space="preserve">Industrial and </w:t>
      </w:r>
      <w:r w:rsidR="00F6310E" w:rsidRPr="00BF790C">
        <w:rPr>
          <w:rFonts w:ascii="Times New Roman" w:hAnsi="Times New Roman" w:cs="Times New Roman"/>
          <w:i/>
          <w:sz w:val="24"/>
          <w:szCs w:val="24"/>
        </w:rPr>
        <w:t>Labor Relations Review</w:t>
      </w:r>
      <w:r w:rsidR="009D71C8" w:rsidRPr="00BF790C">
        <w:rPr>
          <w:rFonts w:ascii="Times New Roman" w:hAnsi="Times New Roman" w:cs="Times New Roman"/>
          <w:i/>
          <w:sz w:val="24"/>
          <w:szCs w:val="24"/>
        </w:rPr>
        <w:t xml:space="preserve"> </w:t>
      </w:r>
      <w:r>
        <w:rPr>
          <w:rFonts w:ascii="Times New Roman" w:hAnsi="Times New Roman" w:cs="Times New Roman"/>
          <w:sz w:val="24"/>
          <w:szCs w:val="24"/>
        </w:rPr>
        <w:t xml:space="preserve">Vol. 34: </w:t>
      </w:r>
      <w:r w:rsidR="00F6310E" w:rsidRPr="00BF790C">
        <w:rPr>
          <w:rFonts w:ascii="Times New Roman" w:hAnsi="Times New Roman" w:cs="Times New Roman"/>
          <w:sz w:val="24"/>
          <w:szCs w:val="24"/>
        </w:rPr>
        <w:t>489</w:t>
      </w:r>
      <w:r>
        <w:rPr>
          <w:rFonts w:ascii="Times New Roman" w:hAnsi="Times New Roman" w:cs="Times New Roman"/>
          <w:sz w:val="24"/>
          <w:szCs w:val="24"/>
        </w:rPr>
        <w:t>.</w:t>
      </w:r>
      <w:r w:rsidR="00F6310E" w:rsidRPr="00BF790C">
        <w:rPr>
          <w:rFonts w:ascii="Times New Roman" w:hAnsi="Times New Roman" w:cs="Times New Roman"/>
          <w:sz w:val="24"/>
          <w:szCs w:val="24"/>
        </w:rPr>
        <w:t xml:space="preserve"> </w:t>
      </w:r>
    </w:p>
    <w:p w:rsidR="001F00BE" w:rsidRPr="00BF790C" w:rsidRDefault="001F00BE" w:rsidP="001F00BE">
      <w:pPr>
        <w:spacing w:line="480" w:lineRule="auto"/>
        <w:jc w:val="both"/>
        <w:rPr>
          <w:rFonts w:ascii="Times New Roman" w:hAnsi="Times New Roman" w:cs="Times New Roman"/>
          <w:sz w:val="24"/>
          <w:szCs w:val="24"/>
        </w:rPr>
      </w:pPr>
    </w:p>
    <w:p w:rsidR="00775F96" w:rsidRPr="00803A19" w:rsidRDefault="00775F96" w:rsidP="001F00BE">
      <w:pPr>
        <w:autoSpaceDE w:val="0"/>
        <w:autoSpaceDN w:val="0"/>
        <w:adjustRightInd w:val="0"/>
        <w:spacing w:after="0" w:line="480" w:lineRule="auto"/>
        <w:rPr>
          <w:rFonts w:ascii="Times New Roman" w:hAnsi="Times New Roman" w:cs="Times New Roman"/>
          <w:i/>
          <w:iCs/>
          <w:sz w:val="24"/>
          <w:szCs w:val="24"/>
          <w:lang w:bidi="ar-SA"/>
        </w:rPr>
      </w:pPr>
      <w:proofErr w:type="spellStart"/>
      <w:proofErr w:type="gramStart"/>
      <w:r w:rsidRPr="00BF790C">
        <w:rPr>
          <w:rFonts w:ascii="Times New Roman" w:hAnsi="Times New Roman" w:cs="Times New Roman"/>
          <w:sz w:val="24"/>
          <w:szCs w:val="24"/>
          <w:lang w:bidi="ar-SA"/>
        </w:rPr>
        <w:t>Hinz</w:t>
      </w:r>
      <w:proofErr w:type="spellEnd"/>
      <w:r w:rsidRPr="00BF790C">
        <w:rPr>
          <w:rFonts w:ascii="Times New Roman" w:hAnsi="Times New Roman" w:cs="Times New Roman"/>
          <w:sz w:val="24"/>
          <w:szCs w:val="24"/>
          <w:lang w:bidi="ar-SA"/>
        </w:rPr>
        <w:t>, Richard</w:t>
      </w:r>
      <w:r w:rsidR="00803A19">
        <w:rPr>
          <w:rFonts w:ascii="Times New Roman" w:hAnsi="Times New Roman" w:cs="Times New Roman"/>
          <w:sz w:val="24"/>
          <w:szCs w:val="24"/>
          <w:lang w:bidi="ar-SA"/>
        </w:rPr>
        <w:t xml:space="preserve"> P., and John A. Turner.</w:t>
      </w:r>
      <w:proofErr w:type="gramEnd"/>
      <w:r w:rsidR="00803A19">
        <w:rPr>
          <w:rFonts w:ascii="Times New Roman" w:hAnsi="Times New Roman" w:cs="Times New Roman"/>
          <w:sz w:val="24"/>
          <w:szCs w:val="24"/>
          <w:lang w:bidi="ar-SA"/>
        </w:rPr>
        <w:t xml:space="preserve"> 1998. </w:t>
      </w:r>
      <w:r w:rsidR="00803A19" w:rsidRPr="00BF790C">
        <w:rPr>
          <w:rFonts w:ascii="Times New Roman" w:hAnsi="Times New Roman" w:cs="Times New Roman"/>
          <w:sz w:val="24"/>
          <w:szCs w:val="24"/>
          <w:lang w:bidi="ar-SA"/>
        </w:rPr>
        <w:t>Pension coverage initiatives:</w:t>
      </w:r>
      <w:r w:rsidR="00803A19">
        <w:rPr>
          <w:rFonts w:ascii="Times New Roman" w:hAnsi="Times New Roman" w:cs="Times New Roman"/>
          <w:sz w:val="24"/>
          <w:szCs w:val="24"/>
          <w:lang w:bidi="ar-SA"/>
        </w:rPr>
        <w:t xml:space="preserve"> why don’t workers participate? </w:t>
      </w:r>
      <w:r w:rsidR="00803A19" w:rsidRPr="00BF790C">
        <w:rPr>
          <w:rFonts w:ascii="Times New Roman" w:hAnsi="Times New Roman" w:cs="Times New Roman"/>
          <w:sz w:val="24"/>
          <w:szCs w:val="24"/>
          <w:lang w:bidi="ar-SA"/>
        </w:rPr>
        <w:t xml:space="preserve"> </w:t>
      </w:r>
      <w:r w:rsidRPr="00BF790C">
        <w:rPr>
          <w:rFonts w:ascii="Times New Roman" w:hAnsi="Times New Roman" w:cs="Times New Roman"/>
          <w:sz w:val="24"/>
          <w:szCs w:val="24"/>
          <w:lang w:bidi="ar-SA"/>
        </w:rPr>
        <w:t xml:space="preserve">In Olivia </w:t>
      </w:r>
      <w:r w:rsidR="00803A19">
        <w:rPr>
          <w:rFonts w:ascii="Times New Roman" w:hAnsi="Times New Roman" w:cs="Times New Roman"/>
          <w:sz w:val="24"/>
          <w:szCs w:val="24"/>
          <w:lang w:bidi="ar-SA"/>
        </w:rPr>
        <w:t xml:space="preserve">Mitchell and Sylvester </w:t>
      </w:r>
      <w:proofErr w:type="spellStart"/>
      <w:proofErr w:type="gramStart"/>
      <w:r w:rsidR="00803A19">
        <w:rPr>
          <w:rFonts w:ascii="Times New Roman" w:hAnsi="Times New Roman" w:cs="Times New Roman"/>
          <w:sz w:val="24"/>
          <w:szCs w:val="24"/>
          <w:lang w:bidi="ar-SA"/>
        </w:rPr>
        <w:t>Schieber</w:t>
      </w:r>
      <w:proofErr w:type="spellEnd"/>
      <w:r w:rsidRPr="00BF790C">
        <w:rPr>
          <w:rFonts w:ascii="Times New Roman" w:hAnsi="Times New Roman" w:cs="Times New Roman"/>
          <w:sz w:val="24"/>
          <w:szCs w:val="24"/>
          <w:lang w:bidi="ar-SA"/>
        </w:rPr>
        <w:t xml:space="preserve"> </w:t>
      </w:r>
      <w:r w:rsidR="00803A19">
        <w:rPr>
          <w:rFonts w:ascii="Times New Roman" w:hAnsi="Times New Roman" w:cs="Times New Roman"/>
          <w:sz w:val="24"/>
          <w:szCs w:val="24"/>
          <w:lang w:bidi="ar-SA"/>
        </w:rPr>
        <w:t xml:space="preserve"> (</w:t>
      </w:r>
      <w:proofErr w:type="gramEnd"/>
      <w:r w:rsidR="00803A19">
        <w:rPr>
          <w:rFonts w:ascii="Times New Roman" w:hAnsi="Times New Roman" w:cs="Times New Roman"/>
          <w:sz w:val="24"/>
          <w:szCs w:val="24"/>
          <w:lang w:bidi="ar-SA"/>
        </w:rPr>
        <w:t>E</w:t>
      </w:r>
      <w:r w:rsidRPr="00BF790C">
        <w:rPr>
          <w:rFonts w:ascii="Times New Roman" w:hAnsi="Times New Roman" w:cs="Times New Roman"/>
          <w:sz w:val="24"/>
          <w:szCs w:val="24"/>
          <w:lang w:bidi="ar-SA"/>
        </w:rPr>
        <w:t>ds.</w:t>
      </w:r>
      <w:r w:rsidR="00803A19">
        <w:rPr>
          <w:rFonts w:ascii="Times New Roman" w:hAnsi="Times New Roman" w:cs="Times New Roman"/>
          <w:sz w:val="24"/>
          <w:szCs w:val="24"/>
          <w:lang w:bidi="ar-SA"/>
        </w:rPr>
        <w:t>)</w:t>
      </w:r>
      <w:r w:rsidRPr="00BF790C">
        <w:rPr>
          <w:rFonts w:ascii="Times New Roman" w:hAnsi="Times New Roman" w:cs="Times New Roman"/>
          <w:sz w:val="24"/>
          <w:szCs w:val="24"/>
          <w:lang w:bidi="ar-SA"/>
        </w:rPr>
        <w:t xml:space="preserve">, </w:t>
      </w:r>
      <w:r w:rsidRPr="00BF790C">
        <w:rPr>
          <w:rFonts w:ascii="Times New Roman" w:hAnsi="Times New Roman" w:cs="Times New Roman"/>
          <w:i/>
          <w:iCs/>
          <w:sz w:val="24"/>
          <w:szCs w:val="24"/>
          <w:lang w:bidi="ar-SA"/>
        </w:rPr>
        <w:t>Living with</w:t>
      </w:r>
      <w:r w:rsidR="00803A19">
        <w:rPr>
          <w:rFonts w:ascii="Times New Roman" w:hAnsi="Times New Roman" w:cs="Times New Roman"/>
          <w:i/>
          <w:iCs/>
          <w:sz w:val="24"/>
          <w:szCs w:val="24"/>
          <w:lang w:bidi="ar-SA"/>
        </w:rPr>
        <w:t xml:space="preserve"> </w:t>
      </w:r>
      <w:r w:rsidRPr="00BF790C">
        <w:rPr>
          <w:rFonts w:ascii="Times New Roman" w:hAnsi="Times New Roman" w:cs="Times New Roman"/>
          <w:i/>
          <w:iCs/>
          <w:sz w:val="24"/>
          <w:szCs w:val="24"/>
          <w:lang w:bidi="ar-SA"/>
        </w:rPr>
        <w:t xml:space="preserve">Defined Contribution Pensions. </w:t>
      </w:r>
      <w:r w:rsidRPr="00BF790C">
        <w:rPr>
          <w:rFonts w:ascii="Times New Roman" w:hAnsi="Times New Roman" w:cs="Times New Roman"/>
          <w:sz w:val="24"/>
          <w:szCs w:val="24"/>
          <w:lang w:bidi="ar-SA"/>
        </w:rPr>
        <w:t>Philadelphia: University of Pennsylvania Press.</w:t>
      </w:r>
    </w:p>
    <w:p w:rsidR="00775F96" w:rsidRPr="00BF790C" w:rsidRDefault="00775F96" w:rsidP="001F00BE">
      <w:pPr>
        <w:pStyle w:val="EndnoteText"/>
        <w:spacing w:line="480" w:lineRule="auto"/>
        <w:ind w:firstLine="720"/>
        <w:jc w:val="both"/>
        <w:rPr>
          <w:rFonts w:ascii="Times New Roman" w:hAnsi="Times New Roman" w:cs="Times New Roman"/>
          <w:sz w:val="24"/>
          <w:szCs w:val="24"/>
        </w:rPr>
      </w:pPr>
      <w:r w:rsidRPr="00BF790C">
        <w:rPr>
          <w:rFonts w:ascii="Times New Roman" w:hAnsi="Times New Roman" w:cs="Times New Roman"/>
          <w:sz w:val="24"/>
          <w:szCs w:val="24"/>
        </w:rPr>
        <w:t xml:space="preserve"> </w:t>
      </w:r>
    </w:p>
    <w:p w:rsidR="005C359C" w:rsidRPr="00BF790C" w:rsidRDefault="005C359C" w:rsidP="001F00BE">
      <w:pPr>
        <w:pStyle w:val="EndnoteText"/>
        <w:spacing w:line="480" w:lineRule="auto"/>
        <w:jc w:val="both"/>
        <w:rPr>
          <w:rFonts w:ascii="Times New Roman" w:hAnsi="Times New Roman" w:cs="Times New Roman"/>
          <w:sz w:val="24"/>
          <w:szCs w:val="24"/>
        </w:rPr>
      </w:pPr>
      <w:r w:rsidRPr="00BF790C">
        <w:rPr>
          <w:rFonts w:ascii="Times New Roman" w:hAnsi="Times New Roman" w:cs="Times New Roman"/>
          <w:sz w:val="24"/>
          <w:szCs w:val="24"/>
        </w:rPr>
        <w:t xml:space="preserve">Gale. William G. </w:t>
      </w:r>
      <w:r w:rsidR="00803A19">
        <w:rPr>
          <w:rFonts w:ascii="Times New Roman" w:hAnsi="Times New Roman" w:cs="Times New Roman"/>
          <w:sz w:val="24"/>
          <w:szCs w:val="24"/>
        </w:rPr>
        <w:t xml:space="preserve">1998. </w:t>
      </w:r>
      <w:r w:rsidR="00803A19" w:rsidRPr="00BF790C">
        <w:rPr>
          <w:rFonts w:ascii="Times New Roman" w:hAnsi="Times New Roman" w:cs="Times New Roman"/>
          <w:sz w:val="24"/>
          <w:szCs w:val="24"/>
        </w:rPr>
        <w:t>The effects of pension on household wealth: a reeva</w:t>
      </w:r>
      <w:r w:rsidR="00803A19">
        <w:rPr>
          <w:rFonts w:ascii="Times New Roman" w:hAnsi="Times New Roman" w:cs="Times New Roman"/>
          <w:sz w:val="24"/>
          <w:szCs w:val="24"/>
        </w:rPr>
        <w:t>luation of theory and evidence.</w:t>
      </w:r>
      <w:r w:rsidRPr="00BF790C">
        <w:rPr>
          <w:rFonts w:ascii="Times New Roman" w:hAnsi="Times New Roman" w:cs="Times New Roman"/>
          <w:sz w:val="24"/>
          <w:szCs w:val="24"/>
        </w:rPr>
        <w:t xml:space="preserve"> </w:t>
      </w:r>
      <w:r w:rsidRPr="00BF790C">
        <w:rPr>
          <w:rFonts w:ascii="Times New Roman" w:hAnsi="Times New Roman" w:cs="Times New Roman"/>
          <w:i/>
          <w:sz w:val="24"/>
          <w:szCs w:val="24"/>
        </w:rPr>
        <w:t>The Journal of Political Economy</w:t>
      </w:r>
      <w:r w:rsidR="00803A19">
        <w:rPr>
          <w:rFonts w:ascii="Times New Roman" w:hAnsi="Times New Roman" w:cs="Times New Roman"/>
          <w:sz w:val="24"/>
          <w:szCs w:val="24"/>
        </w:rPr>
        <w:t>, Vol. 106, No. 4:</w:t>
      </w:r>
      <w:r w:rsidRPr="00BF790C">
        <w:rPr>
          <w:rFonts w:ascii="Times New Roman" w:hAnsi="Times New Roman" w:cs="Times New Roman"/>
          <w:sz w:val="24"/>
          <w:szCs w:val="24"/>
        </w:rPr>
        <w:t>706-723.</w:t>
      </w:r>
    </w:p>
    <w:p w:rsidR="006C0553" w:rsidRPr="00BF790C" w:rsidRDefault="006C0553" w:rsidP="001F00BE">
      <w:pPr>
        <w:pStyle w:val="EndnoteText"/>
        <w:spacing w:line="480" w:lineRule="auto"/>
        <w:ind w:firstLine="720"/>
        <w:jc w:val="both"/>
        <w:rPr>
          <w:rFonts w:ascii="Times New Roman" w:hAnsi="Times New Roman" w:cs="Times New Roman"/>
          <w:sz w:val="24"/>
          <w:szCs w:val="24"/>
        </w:rPr>
      </w:pPr>
    </w:p>
    <w:p w:rsidR="006C0553" w:rsidRPr="00BF790C" w:rsidRDefault="00803A19" w:rsidP="001F00BE">
      <w:pPr>
        <w:pStyle w:val="End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Ghilarducci, T. 1990. </w:t>
      </w:r>
      <w:proofErr w:type="gramStart"/>
      <w:r w:rsidR="006C0553" w:rsidRPr="00BF790C">
        <w:rPr>
          <w:rFonts w:ascii="Times New Roman" w:hAnsi="Times New Roman" w:cs="Times New Roman"/>
          <w:sz w:val="24"/>
          <w:szCs w:val="24"/>
        </w:rPr>
        <w:t>Pensions and the uses o</w:t>
      </w:r>
      <w:r>
        <w:rPr>
          <w:rFonts w:ascii="Times New Roman" w:hAnsi="Times New Roman" w:cs="Times New Roman"/>
          <w:sz w:val="24"/>
          <w:szCs w:val="24"/>
        </w:rPr>
        <w:t>f ignorance by unions and firms.</w:t>
      </w:r>
      <w:proofErr w:type="gramEnd"/>
      <w:r>
        <w:rPr>
          <w:rFonts w:ascii="Times New Roman" w:hAnsi="Times New Roman" w:cs="Times New Roman"/>
          <w:sz w:val="24"/>
          <w:szCs w:val="24"/>
        </w:rPr>
        <w:t xml:space="preserve"> </w:t>
      </w:r>
      <w:r w:rsidR="006C0553" w:rsidRPr="00803A19">
        <w:rPr>
          <w:rFonts w:ascii="Times New Roman" w:hAnsi="Times New Roman" w:cs="Times New Roman"/>
          <w:i/>
          <w:sz w:val="24"/>
          <w:szCs w:val="24"/>
        </w:rPr>
        <w:t>Journal of Labor Research</w:t>
      </w:r>
      <w:r>
        <w:rPr>
          <w:rFonts w:ascii="Times New Roman" w:hAnsi="Times New Roman" w:cs="Times New Roman"/>
          <w:i/>
          <w:sz w:val="24"/>
          <w:szCs w:val="24"/>
        </w:rPr>
        <w:t>,</w:t>
      </w:r>
      <w:r w:rsidR="006C0553" w:rsidRPr="00BF790C">
        <w:rPr>
          <w:rFonts w:ascii="Times New Roman" w:hAnsi="Times New Roman" w:cs="Times New Roman"/>
          <w:sz w:val="24"/>
          <w:szCs w:val="24"/>
        </w:rPr>
        <w:t xml:space="preserve"> </w:t>
      </w:r>
      <w:r>
        <w:rPr>
          <w:rFonts w:ascii="Times New Roman" w:hAnsi="Times New Roman" w:cs="Times New Roman"/>
          <w:sz w:val="24"/>
          <w:szCs w:val="24"/>
        </w:rPr>
        <w:t>Volume 11, Issue 2:</w:t>
      </w:r>
      <w:r w:rsidR="006C0553" w:rsidRPr="00BF790C">
        <w:rPr>
          <w:rFonts w:ascii="Times New Roman" w:hAnsi="Times New Roman" w:cs="Times New Roman"/>
          <w:sz w:val="24"/>
          <w:szCs w:val="24"/>
        </w:rPr>
        <w:t xml:space="preserve"> 203-216</w:t>
      </w:r>
      <w:r>
        <w:rPr>
          <w:rFonts w:ascii="Times New Roman" w:hAnsi="Times New Roman" w:cs="Times New Roman"/>
          <w:sz w:val="24"/>
          <w:szCs w:val="24"/>
        </w:rPr>
        <w:t>.</w:t>
      </w:r>
    </w:p>
    <w:p w:rsidR="006C0553" w:rsidRPr="00BF790C" w:rsidRDefault="006C0553" w:rsidP="001F00BE">
      <w:pPr>
        <w:pStyle w:val="EndnoteText"/>
        <w:spacing w:line="480" w:lineRule="auto"/>
        <w:ind w:firstLine="720"/>
        <w:jc w:val="both"/>
        <w:rPr>
          <w:rFonts w:ascii="Times New Roman" w:hAnsi="Times New Roman" w:cs="Times New Roman"/>
          <w:sz w:val="24"/>
          <w:szCs w:val="24"/>
        </w:rPr>
      </w:pPr>
    </w:p>
    <w:p w:rsidR="000A1813" w:rsidRPr="00BF790C" w:rsidRDefault="000A1813" w:rsidP="001F00BE">
      <w:pPr>
        <w:pStyle w:val="EndnoteText"/>
        <w:spacing w:line="480" w:lineRule="auto"/>
        <w:jc w:val="both"/>
        <w:rPr>
          <w:rFonts w:ascii="Times New Roman" w:hAnsi="Times New Roman" w:cs="Times New Roman"/>
          <w:sz w:val="24"/>
          <w:szCs w:val="24"/>
        </w:rPr>
      </w:pPr>
      <w:r w:rsidRPr="00BF790C">
        <w:rPr>
          <w:rFonts w:ascii="Times New Roman" w:hAnsi="Times New Roman" w:cs="Times New Roman"/>
          <w:sz w:val="24"/>
          <w:szCs w:val="24"/>
        </w:rPr>
        <w:t>Gou</w:t>
      </w:r>
      <w:r w:rsidR="00803A19">
        <w:rPr>
          <w:rFonts w:ascii="Times New Roman" w:hAnsi="Times New Roman" w:cs="Times New Roman"/>
          <w:sz w:val="24"/>
          <w:szCs w:val="24"/>
        </w:rPr>
        <w:t xml:space="preserve">ld, E. and </w:t>
      </w:r>
      <w:proofErr w:type="spellStart"/>
      <w:r w:rsidR="00803A19">
        <w:rPr>
          <w:rFonts w:ascii="Times New Roman" w:hAnsi="Times New Roman" w:cs="Times New Roman"/>
          <w:sz w:val="24"/>
          <w:szCs w:val="24"/>
        </w:rPr>
        <w:t>Shierholz</w:t>
      </w:r>
      <w:proofErr w:type="spellEnd"/>
      <w:r w:rsidR="00803A19">
        <w:rPr>
          <w:rFonts w:ascii="Times New Roman" w:hAnsi="Times New Roman" w:cs="Times New Roman"/>
          <w:sz w:val="24"/>
          <w:szCs w:val="24"/>
        </w:rPr>
        <w:t xml:space="preserve">, H. 2011. </w:t>
      </w:r>
      <w:proofErr w:type="gramStart"/>
      <w:r w:rsidR="00803A19">
        <w:rPr>
          <w:rFonts w:ascii="Times New Roman" w:hAnsi="Times New Roman" w:cs="Times New Roman"/>
          <w:sz w:val="24"/>
          <w:szCs w:val="24"/>
        </w:rPr>
        <w:t xml:space="preserve">The </w:t>
      </w:r>
      <w:r w:rsidR="00803A19" w:rsidRPr="00BF790C">
        <w:rPr>
          <w:rFonts w:ascii="Times New Roman" w:hAnsi="Times New Roman" w:cs="Times New Roman"/>
          <w:sz w:val="24"/>
          <w:szCs w:val="24"/>
        </w:rPr>
        <w:t>compensation</w:t>
      </w:r>
      <w:r w:rsidR="00803A19">
        <w:rPr>
          <w:rFonts w:ascii="Times New Roman" w:hAnsi="Times New Roman" w:cs="Times New Roman"/>
          <w:sz w:val="24"/>
          <w:szCs w:val="24"/>
        </w:rPr>
        <w:t xml:space="preserve"> penalty of ‘right-to-work’ laws</w:t>
      </w:r>
      <w:r w:rsidRPr="00BF790C">
        <w:rPr>
          <w:rFonts w:ascii="Times New Roman" w:hAnsi="Times New Roman" w:cs="Times New Roman"/>
          <w:sz w:val="24"/>
          <w:szCs w:val="24"/>
        </w:rPr>
        <w:t>.</w:t>
      </w:r>
      <w:proofErr w:type="gramEnd"/>
      <w:r w:rsidRPr="00BF790C">
        <w:rPr>
          <w:rFonts w:ascii="Times New Roman" w:hAnsi="Times New Roman" w:cs="Times New Roman"/>
          <w:sz w:val="24"/>
          <w:szCs w:val="24"/>
        </w:rPr>
        <w:t xml:space="preserve"> </w:t>
      </w:r>
      <w:proofErr w:type="gramStart"/>
      <w:r w:rsidRPr="00803A19">
        <w:rPr>
          <w:rFonts w:ascii="Times New Roman" w:hAnsi="Times New Roman" w:cs="Times New Roman"/>
          <w:i/>
          <w:sz w:val="24"/>
          <w:szCs w:val="24"/>
        </w:rPr>
        <w:t>EPI briefing paper</w:t>
      </w:r>
      <w:r w:rsidRPr="00BF790C">
        <w:rPr>
          <w:rFonts w:ascii="Times New Roman" w:hAnsi="Times New Roman" w:cs="Times New Roman"/>
          <w:sz w:val="24"/>
          <w:szCs w:val="24"/>
        </w:rPr>
        <w:t xml:space="preserve"> #299.</w:t>
      </w:r>
      <w:proofErr w:type="gramEnd"/>
    </w:p>
    <w:p w:rsidR="000A1813" w:rsidRPr="00BF790C" w:rsidRDefault="000A1813" w:rsidP="001F00BE">
      <w:pPr>
        <w:pStyle w:val="EndnoteText"/>
        <w:spacing w:line="480" w:lineRule="auto"/>
        <w:ind w:firstLine="720"/>
        <w:jc w:val="both"/>
        <w:rPr>
          <w:rFonts w:ascii="Times New Roman" w:hAnsi="Times New Roman" w:cs="Times New Roman"/>
          <w:sz w:val="24"/>
          <w:szCs w:val="24"/>
        </w:rPr>
      </w:pPr>
    </w:p>
    <w:p w:rsidR="00140264" w:rsidRPr="00BF790C" w:rsidRDefault="00803A19" w:rsidP="001F00BE">
      <w:pPr>
        <w:pStyle w:val="End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Moore, W.J. 1998. </w:t>
      </w:r>
      <w:r w:rsidRPr="00BF790C">
        <w:rPr>
          <w:rFonts w:ascii="Times New Roman" w:hAnsi="Times New Roman" w:cs="Times New Roman"/>
          <w:sz w:val="24"/>
          <w:szCs w:val="24"/>
        </w:rPr>
        <w:t>The determinants and effects of right-to-work laws: a review of the recent literature</w:t>
      </w:r>
      <w:r w:rsidR="00140264" w:rsidRPr="00BF790C">
        <w:rPr>
          <w:rFonts w:ascii="Times New Roman" w:hAnsi="Times New Roman" w:cs="Times New Roman"/>
          <w:sz w:val="24"/>
          <w:szCs w:val="24"/>
        </w:rPr>
        <w:t xml:space="preserve">. </w:t>
      </w:r>
      <w:r w:rsidR="00140264" w:rsidRPr="00BF790C">
        <w:rPr>
          <w:rFonts w:ascii="Times New Roman" w:hAnsi="Times New Roman" w:cs="Times New Roman"/>
          <w:i/>
          <w:sz w:val="24"/>
          <w:szCs w:val="24"/>
        </w:rPr>
        <w:t xml:space="preserve">Journal </w:t>
      </w:r>
      <w:r w:rsidR="000A1813" w:rsidRPr="00BF790C">
        <w:rPr>
          <w:rFonts w:ascii="Times New Roman" w:hAnsi="Times New Roman" w:cs="Times New Roman"/>
          <w:i/>
          <w:sz w:val="24"/>
          <w:szCs w:val="24"/>
        </w:rPr>
        <w:t>of Labor Research</w:t>
      </w:r>
      <w:r>
        <w:rPr>
          <w:rFonts w:ascii="Times New Roman" w:hAnsi="Times New Roman" w:cs="Times New Roman"/>
          <w:sz w:val="24"/>
          <w:szCs w:val="24"/>
        </w:rPr>
        <w:t>, Vol. 19, No. 3:</w:t>
      </w:r>
      <w:r w:rsidR="00140264" w:rsidRPr="00BF790C">
        <w:rPr>
          <w:rFonts w:ascii="Times New Roman" w:hAnsi="Times New Roman" w:cs="Times New Roman"/>
          <w:sz w:val="24"/>
          <w:szCs w:val="24"/>
        </w:rPr>
        <w:t xml:space="preserve"> 449-469.</w:t>
      </w:r>
    </w:p>
    <w:p w:rsidR="00140264" w:rsidRPr="00BF790C" w:rsidRDefault="00140264" w:rsidP="001F00BE">
      <w:pPr>
        <w:pStyle w:val="EndnoteText"/>
        <w:spacing w:line="480" w:lineRule="auto"/>
        <w:ind w:firstLine="720"/>
        <w:jc w:val="both"/>
        <w:rPr>
          <w:rFonts w:ascii="Times New Roman" w:hAnsi="Times New Roman" w:cs="Times New Roman"/>
          <w:sz w:val="24"/>
          <w:szCs w:val="24"/>
        </w:rPr>
      </w:pPr>
    </w:p>
    <w:p w:rsidR="005C359C" w:rsidRDefault="005C359C" w:rsidP="001F00BE">
      <w:pPr>
        <w:spacing w:after="0" w:line="480" w:lineRule="auto"/>
        <w:jc w:val="both"/>
        <w:rPr>
          <w:rFonts w:ascii="Times New Roman" w:hAnsi="Times New Roman" w:cs="Times New Roman"/>
          <w:sz w:val="24"/>
          <w:szCs w:val="24"/>
        </w:rPr>
      </w:pPr>
      <w:r w:rsidRPr="00BF790C">
        <w:rPr>
          <w:rFonts w:ascii="Times New Roman" w:hAnsi="Times New Roman" w:cs="Times New Roman"/>
          <w:sz w:val="24"/>
          <w:szCs w:val="24"/>
        </w:rPr>
        <w:t>Parsons, Donald.</w:t>
      </w:r>
      <w:r w:rsidR="00C8319A">
        <w:rPr>
          <w:rFonts w:ascii="Times New Roman" w:hAnsi="Times New Roman" w:cs="Times New Roman"/>
          <w:sz w:val="24"/>
          <w:szCs w:val="24"/>
        </w:rPr>
        <w:t xml:space="preserve"> 1991. </w:t>
      </w:r>
      <w:r w:rsidR="00C8319A" w:rsidRPr="00BF790C">
        <w:rPr>
          <w:rFonts w:ascii="Times New Roman" w:hAnsi="Times New Roman" w:cs="Times New Roman"/>
          <w:sz w:val="24"/>
          <w:szCs w:val="24"/>
        </w:rPr>
        <w:t>The decline in private pension cov</w:t>
      </w:r>
      <w:r w:rsidR="00C8319A">
        <w:rPr>
          <w:rFonts w:ascii="Times New Roman" w:hAnsi="Times New Roman" w:cs="Times New Roman"/>
          <w:sz w:val="24"/>
          <w:szCs w:val="24"/>
        </w:rPr>
        <w:t>erage in the United S</w:t>
      </w:r>
      <w:r w:rsidR="00C8319A" w:rsidRPr="00BF790C">
        <w:rPr>
          <w:rFonts w:ascii="Times New Roman" w:hAnsi="Times New Roman" w:cs="Times New Roman"/>
          <w:sz w:val="24"/>
          <w:szCs w:val="24"/>
        </w:rPr>
        <w:t>tates</w:t>
      </w:r>
      <w:r w:rsidRPr="00BF790C">
        <w:rPr>
          <w:rFonts w:ascii="Times New Roman" w:hAnsi="Times New Roman" w:cs="Times New Roman"/>
          <w:sz w:val="24"/>
          <w:szCs w:val="24"/>
        </w:rPr>
        <w:t xml:space="preserve">.  </w:t>
      </w:r>
      <w:r w:rsidRPr="00BF790C">
        <w:rPr>
          <w:rFonts w:ascii="Times New Roman" w:hAnsi="Times New Roman" w:cs="Times New Roman"/>
          <w:i/>
          <w:sz w:val="24"/>
          <w:szCs w:val="24"/>
        </w:rPr>
        <w:t>Economics Letters</w:t>
      </w:r>
      <w:r w:rsidR="00C8319A">
        <w:rPr>
          <w:rFonts w:ascii="Times New Roman" w:hAnsi="Times New Roman" w:cs="Times New Roman"/>
          <w:sz w:val="24"/>
          <w:szCs w:val="24"/>
        </w:rPr>
        <w:t>,</w:t>
      </w:r>
      <w:r w:rsidR="00803A19">
        <w:rPr>
          <w:rFonts w:ascii="Times New Roman" w:hAnsi="Times New Roman" w:cs="Times New Roman"/>
          <w:sz w:val="24"/>
          <w:szCs w:val="24"/>
        </w:rPr>
        <w:t xml:space="preserve"> Vol. </w:t>
      </w:r>
      <w:proofErr w:type="gramStart"/>
      <w:r w:rsidR="00803A19">
        <w:rPr>
          <w:rFonts w:ascii="Times New Roman" w:hAnsi="Times New Roman" w:cs="Times New Roman"/>
          <w:sz w:val="24"/>
          <w:szCs w:val="24"/>
        </w:rPr>
        <w:t>36.,</w:t>
      </w:r>
      <w:proofErr w:type="gramEnd"/>
      <w:r w:rsidR="00803A19">
        <w:rPr>
          <w:rFonts w:ascii="Times New Roman" w:hAnsi="Times New Roman" w:cs="Times New Roman"/>
          <w:sz w:val="24"/>
          <w:szCs w:val="24"/>
        </w:rPr>
        <w:t xml:space="preserve"> No. 4:</w:t>
      </w:r>
      <w:r w:rsidRPr="00BF790C">
        <w:rPr>
          <w:rFonts w:ascii="Times New Roman" w:hAnsi="Times New Roman" w:cs="Times New Roman"/>
          <w:sz w:val="24"/>
          <w:szCs w:val="24"/>
        </w:rPr>
        <w:t>419-423.</w:t>
      </w:r>
    </w:p>
    <w:p w:rsidR="001F00BE" w:rsidRPr="00BF790C" w:rsidRDefault="001F00BE" w:rsidP="001F00BE">
      <w:pPr>
        <w:spacing w:after="0" w:line="480" w:lineRule="auto"/>
        <w:jc w:val="both"/>
        <w:rPr>
          <w:rFonts w:ascii="Times New Roman" w:hAnsi="Times New Roman" w:cs="Times New Roman"/>
          <w:sz w:val="24"/>
          <w:szCs w:val="24"/>
        </w:rPr>
      </w:pPr>
    </w:p>
    <w:p w:rsidR="005C359C" w:rsidRPr="00BF790C" w:rsidRDefault="005C359C" w:rsidP="001F00BE">
      <w:pPr>
        <w:pStyle w:val="EndnoteText"/>
        <w:spacing w:line="480" w:lineRule="auto"/>
        <w:jc w:val="both"/>
        <w:rPr>
          <w:rFonts w:ascii="Times New Roman" w:hAnsi="Times New Roman" w:cs="Times New Roman"/>
          <w:sz w:val="24"/>
          <w:szCs w:val="24"/>
        </w:rPr>
      </w:pPr>
      <w:proofErr w:type="gramStart"/>
      <w:r w:rsidRPr="00BF790C">
        <w:rPr>
          <w:rFonts w:ascii="Times New Roman" w:hAnsi="Times New Roman" w:cs="Times New Roman"/>
          <w:sz w:val="24"/>
          <w:szCs w:val="24"/>
        </w:rPr>
        <w:t>Social Security Administration.</w:t>
      </w:r>
      <w:proofErr w:type="gramEnd"/>
      <w:r w:rsidRPr="00BF790C">
        <w:rPr>
          <w:rFonts w:ascii="Times New Roman" w:hAnsi="Times New Roman" w:cs="Times New Roman"/>
          <w:sz w:val="24"/>
          <w:szCs w:val="24"/>
        </w:rPr>
        <w:t xml:space="preserve"> 2008</w:t>
      </w:r>
      <w:r w:rsidR="00C8319A">
        <w:rPr>
          <w:rFonts w:ascii="Times New Roman" w:hAnsi="Times New Roman" w:cs="Times New Roman"/>
          <w:sz w:val="24"/>
          <w:szCs w:val="24"/>
        </w:rPr>
        <w:t xml:space="preserve">. </w:t>
      </w:r>
      <w:r w:rsidR="00C8319A" w:rsidRPr="00BF790C">
        <w:rPr>
          <w:rFonts w:ascii="Times New Roman" w:hAnsi="Times New Roman" w:cs="Times New Roman"/>
          <w:sz w:val="24"/>
          <w:szCs w:val="24"/>
        </w:rPr>
        <w:t xml:space="preserve">Income </w:t>
      </w:r>
      <w:r w:rsidR="00C8319A">
        <w:rPr>
          <w:rFonts w:ascii="Times New Roman" w:hAnsi="Times New Roman" w:cs="Times New Roman"/>
          <w:sz w:val="24"/>
          <w:szCs w:val="24"/>
        </w:rPr>
        <w:t xml:space="preserve">of the population 55 and older. </w:t>
      </w:r>
      <w:r w:rsidR="003849C6">
        <w:rPr>
          <w:rFonts w:ascii="Times New Roman" w:hAnsi="Times New Roman" w:cs="Times New Roman"/>
          <w:sz w:val="24"/>
          <w:szCs w:val="24"/>
        </w:rPr>
        <w:t xml:space="preserve">Accessed at </w:t>
      </w:r>
      <w:r w:rsidR="003849C6" w:rsidRPr="003849C6">
        <w:rPr>
          <w:rFonts w:ascii="Times New Roman" w:hAnsi="Times New Roman" w:cs="Times New Roman"/>
          <w:sz w:val="24"/>
          <w:szCs w:val="24"/>
        </w:rPr>
        <w:t xml:space="preserve">http://www.ssa.gov/policy/docs/statcomps/income_pop55/2008/incpop08.pdf </w:t>
      </w:r>
    </w:p>
    <w:p w:rsidR="00090D48" w:rsidRPr="00BF790C" w:rsidRDefault="00090D48" w:rsidP="001F00BE">
      <w:pPr>
        <w:spacing w:after="0" w:line="480" w:lineRule="auto"/>
        <w:rPr>
          <w:rFonts w:ascii="Times New Roman" w:hAnsi="Times New Roman" w:cs="Times New Roman"/>
          <w:sz w:val="24"/>
          <w:szCs w:val="24"/>
        </w:rPr>
      </w:pPr>
    </w:p>
    <w:p w:rsidR="00C8319A" w:rsidRPr="00BF790C" w:rsidRDefault="00C8319A" w:rsidP="001F00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Wooldridge, J.M.  2006. </w:t>
      </w:r>
      <w:r w:rsidRPr="00BF790C">
        <w:rPr>
          <w:rFonts w:ascii="Times New Roman" w:hAnsi="Times New Roman" w:cs="Times New Roman"/>
          <w:sz w:val="24"/>
          <w:szCs w:val="24"/>
        </w:rPr>
        <w:t>Cluster-Sample Methods in Applied Econometrics: An Ex</w:t>
      </w:r>
      <w:r>
        <w:rPr>
          <w:rFonts w:ascii="Times New Roman" w:hAnsi="Times New Roman" w:cs="Times New Roman"/>
          <w:sz w:val="24"/>
          <w:szCs w:val="24"/>
        </w:rPr>
        <w:t xml:space="preserve">tended Analysis. </w:t>
      </w:r>
      <w:r w:rsidRPr="00C8319A">
        <w:rPr>
          <w:rFonts w:ascii="Times New Roman" w:hAnsi="Times New Roman" w:cs="Times New Roman"/>
          <w:i/>
          <w:sz w:val="24"/>
          <w:szCs w:val="24"/>
        </w:rPr>
        <w:t>Mimeo</w:t>
      </w:r>
      <w:proofErr w:type="gramStart"/>
      <w:r>
        <w:rPr>
          <w:rFonts w:ascii="Times New Roman" w:hAnsi="Times New Roman" w:cs="Times New Roman"/>
          <w:sz w:val="24"/>
          <w:szCs w:val="24"/>
        </w:rPr>
        <w:t xml:space="preserve">, </w:t>
      </w:r>
      <w:r w:rsidRPr="00BF790C">
        <w:rPr>
          <w:rFonts w:ascii="Times New Roman" w:hAnsi="Times New Roman" w:cs="Times New Roman"/>
          <w:sz w:val="24"/>
          <w:szCs w:val="24"/>
        </w:rPr>
        <w:t xml:space="preserve"> </w:t>
      </w:r>
      <w:r w:rsidRPr="00C8319A">
        <w:rPr>
          <w:rFonts w:ascii="Times New Roman" w:hAnsi="Times New Roman" w:cs="Times New Roman"/>
          <w:sz w:val="24"/>
          <w:szCs w:val="24"/>
        </w:rPr>
        <w:t>Department</w:t>
      </w:r>
      <w:proofErr w:type="gramEnd"/>
      <w:r w:rsidRPr="00C8319A">
        <w:rPr>
          <w:rFonts w:ascii="Times New Roman" w:hAnsi="Times New Roman" w:cs="Times New Roman"/>
          <w:sz w:val="24"/>
          <w:szCs w:val="24"/>
        </w:rPr>
        <w:t xml:space="preserve"> of Economics, Michigan State University</w:t>
      </w:r>
      <w:r w:rsidRPr="00BF790C">
        <w:rPr>
          <w:rFonts w:ascii="Times New Roman" w:hAnsi="Times New Roman" w:cs="Times New Roman"/>
          <w:sz w:val="24"/>
          <w:szCs w:val="24"/>
        </w:rPr>
        <w:t>.</w:t>
      </w:r>
    </w:p>
    <w:p w:rsidR="00C8319A" w:rsidRDefault="00C8319A" w:rsidP="001F00BE">
      <w:pPr>
        <w:spacing w:after="0" w:line="480" w:lineRule="auto"/>
        <w:rPr>
          <w:rFonts w:ascii="Times New Roman" w:hAnsi="Times New Roman" w:cs="Times New Roman"/>
          <w:sz w:val="24"/>
          <w:szCs w:val="24"/>
        </w:rPr>
      </w:pPr>
    </w:p>
    <w:p w:rsidR="00345A47" w:rsidRPr="00BF790C" w:rsidRDefault="00C8319A" w:rsidP="001F00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Wooldridge, J.M.  2003. </w:t>
      </w:r>
      <w:r w:rsidRPr="00BF790C">
        <w:rPr>
          <w:rFonts w:ascii="Times New Roman" w:hAnsi="Times New Roman" w:cs="Times New Roman"/>
          <w:sz w:val="24"/>
          <w:szCs w:val="24"/>
        </w:rPr>
        <w:t>Cluster-sample m</w:t>
      </w:r>
      <w:r>
        <w:rPr>
          <w:rFonts w:ascii="Times New Roman" w:hAnsi="Times New Roman" w:cs="Times New Roman"/>
          <w:sz w:val="24"/>
          <w:szCs w:val="24"/>
        </w:rPr>
        <w:t xml:space="preserve">ethods in applied econometrics. </w:t>
      </w:r>
      <w:r w:rsidR="00345A47" w:rsidRPr="00BF790C">
        <w:rPr>
          <w:rFonts w:ascii="Times New Roman" w:hAnsi="Times New Roman" w:cs="Times New Roman"/>
          <w:sz w:val="24"/>
          <w:szCs w:val="24"/>
        </w:rPr>
        <w:t xml:space="preserve"> </w:t>
      </w:r>
      <w:r w:rsidR="00345A47" w:rsidRPr="00BF790C">
        <w:rPr>
          <w:rFonts w:ascii="Times New Roman" w:hAnsi="Times New Roman" w:cs="Times New Roman"/>
          <w:i/>
          <w:sz w:val="24"/>
          <w:szCs w:val="24"/>
        </w:rPr>
        <w:t>American Economic Review</w:t>
      </w:r>
      <w:r>
        <w:rPr>
          <w:rFonts w:ascii="Times New Roman" w:hAnsi="Times New Roman" w:cs="Times New Roman"/>
          <w:sz w:val="24"/>
          <w:szCs w:val="24"/>
        </w:rPr>
        <w:t xml:space="preserve">, 93: </w:t>
      </w:r>
      <w:r w:rsidR="00345A47" w:rsidRPr="00BF790C">
        <w:rPr>
          <w:rFonts w:ascii="Times New Roman" w:hAnsi="Times New Roman" w:cs="Times New Roman"/>
          <w:sz w:val="24"/>
          <w:szCs w:val="24"/>
        </w:rPr>
        <w:t>133-138.</w:t>
      </w:r>
    </w:p>
    <w:p w:rsidR="00345A47" w:rsidRPr="00BF790C" w:rsidRDefault="00345A47" w:rsidP="001F00BE">
      <w:pPr>
        <w:spacing w:after="0" w:line="480" w:lineRule="auto"/>
        <w:rPr>
          <w:rFonts w:ascii="Times New Roman" w:hAnsi="Times New Roman" w:cs="Times New Roman"/>
          <w:sz w:val="24"/>
          <w:szCs w:val="24"/>
        </w:rPr>
      </w:pPr>
    </w:p>
    <w:p w:rsidR="00C8319A" w:rsidRPr="00BF790C" w:rsidRDefault="00C8319A" w:rsidP="001F00BE">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Yun</w:t>
      </w:r>
      <w:proofErr w:type="spellEnd"/>
      <w:r>
        <w:rPr>
          <w:rFonts w:ascii="Times New Roman" w:hAnsi="Times New Roman" w:cs="Times New Roman"/>
          <w:sz w:val="24"/>
          <w:szCs w:val="24"/>
        </w:rPr>
        <w:t xml:space="preserve">, M.S. 2005. </w:t>
      </w:r>
      <w:proofErr w:type="gramStart"/>
      <w:r w:rsidRPr="00BF790C">
        <w:rPr>
          <w:rFonts w:ascii="Times New Roman" w:hAnsi="Times New Roman" w:cs="Times New Roman"/>
          <w:sz w:val="24"/>
          <w:szCs w:val="24"/>
        </w:rPr>
        <w:t xml:space="preserve">A simple solution to the identification problem </w:t>
      </w:r>
      <w:r>
        <w:rPr>
          <w:rFonts w:ascii="Times New Roman" w:hAnsi="Times New Roman" w:cs="Times New Roman"/>
          <w:sz w:val="24"/>
          <w:szCs w:val="24"/>
        </w:rPr>
        <w:t>in detailed wage decompositions</w:t>
      </w:r>
      <w:r w:rsidRPr="00BF790C">
        <w:rPr>
          <w:rFonts w:ascii="Times New Roman" w:hAnsi="Times New Roman" w:cs="Times New Roman"/>
          <w:sz w:val="24"/>
          <w:szCs w:val="24"/>
        </w:rPr>
        <w:t>.</w:t>
      </w:r>
      <w:proofErr w:type="gramEnd"/>
      <w:r w:rsidRPr="00BF790C">
        <w:rPr>
          <w:rFonts w:ascii="Times New Roman" w:hAnsi="Times New Roman" w:cs="Times New Roman"/>
          <w:sz w:val="24"/>
          <w:szCs w:val="24"/>
        </w:rPr>
        <w:t xml:space="preserve"> </w:t>
      </w:r>
      <w:r w:rsidRPr="00BF790C">
        <w:rPr>
          <w:rFonts w:ascii="Times New Roman" w:hAnsi="Times New Roman" w:cs="Times New Roman"/>
          <w:i/>
          <w:sz w:val="24"/>
          <w:szCs w:val="24"/>
        </w:rPr>
        <w:t>Economic Inquiry</w:t>
      </w:r>
      <w:r w:rsidRPr="00BF790C">
        <w:rPr>
          <w:rFonts w:ascii="Times New Roman" w:hAnsi="Times New Roman" w:cs="Times New Roman"/>
          <w:sz w:val="24"/>
          <w:szCs w:val="24"/>
        </w:rPr>
        <w:t xml:space="preserve"> 43: 766-772.</w:t>
      </w:r>
    </w:p>
    <w:p w:rsidR="00C8319A" w:rsidRDefault="00C8319A" w:rsidP="001F00BE">
      <w:pPr>
        <w:spacing w:after="0" w:line="480" w:lineRule="auto"/>
        <w:rPr>
          <w:rFonts w:ascii="Times New Roman" w:hAnsi="Times New Roman" w:cs="Times New Roman"/>
          <w:sz w:val="24"/>
          <w:szCs w:val="24"/>
          <w:shd w:val="clear" w:color="auto" w:fill="FFFFFF"/>
        </w:rPr>
      </w:pPr>
    </w:p>
    <w:p w:rsidR="00D63606" w:rsidRPr="00BF790C" w:rsidRDefault="00C8319A" w:rsidP="001F00BE">
      <w:pPr>
        <w:spacing w:after="0" w:line="480" w:lineRule="auto"/>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rPr>
        <w:t>Yun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Myeong</w:t>
      </w:r>
      <w:proofErr w:type="spellEnd"/>
      <w:r>
        <w:rPr>
          <w:rFonts w:ascii="Times New Roman" w:hAnsi="Times New Roman" w:cs="Times New Roman"/>
          <w:sz w:val="24"/>
          <w:szCs w:val="24"/>
          <w:shd w:val="clear" w:color="auto" w:fill="FFFFFF"/>
        </w:rPr>
        <w:t>-Su.</w:t>
      </w:r>
      <w:proofErr w:type="gramEnd"/>
      <w:r>
        <w:rPr>
          <w:rFonts w:ascii="Times New Roman" w:hAnsi="Times New Roman" w:cs="Times New Roman"/>
          <w:sz w:val="24"/>
          <w:szCs w:val="24"/>
          <w:shd w:val="clear" w:color="auto" w:fill="FFFFFF"/>
        </w:rPr>
        <w:t xml:space="preserve">  2004. </w:t>
      </w:r>
      <w:hyperlink r:id="rId8" w:history="1">
        <w:r w:rsidRPr="00BF790C">
          <w:rPr>
            <w:rStyle w:val="Hyperlink"/>
            <w:rFonts w:ascii="Times New Roman" w:hAnsi="Times New Roman" w:cs="Times New Roman"/>
            <w:bCs/>
            <w:color w:val="auto"/>
            <w:sz w:val="24"/>
            <w:szCs w:val="24"/>
            <w:u w:val="none"/>
            <w:shd w:val="clear" w:color="auto" w:fill="FFFFFF"/>
          </w:rPr>
          <w:t>Decomposing differences in the first momen</w:t>
        </w:r>
        <w:r w:rsidR="00D63606" w:rsidRPr="00BF790C">
          <w:rPr>
            <w:rStyle w:val="Hyperlink"/>
            <w:rFonts w:ascii="Times New Roman" w:hAnsi="Times New Roman" w:cs="Times New Roman"/>
            <w:bCs/>
            <w:color w:val="auto"/>
            <w:sz w:val="24"/>
            <w:szCs w:val="24"/>
            <w:u w:val="none"/>
            <w:shd w:val="clear" w:color="auto" w:fill="FFFFFF"/>
          </w:rPr>
          <w:t>t</w:t>
        </w:r>
      </w:hyperlink>
      <w:r>
        <w:rPr>
          <w:rFonts w:ascii="Times New Roman" w:hAnsi="Times New Roman" w:cs="Times New Roman"/>
          <w:sz w:val="24"/>
          <w:szCs w:val="24"/>
          <w:shd w:val="clear" w:color="auto" w:fill="FFFFFF"/>
        </w:rPr>
        <w:t>.</w:t>
      </w:r>
      <w:r w:rsidR="00D63606" w:rsidRPr="00BF790C">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 xml:space="preserve"> </w:t>
      </w:r>
      <w:hyperlink r:id="rId9" w:history="1">
        <w:r w:rsidR="00D63606" w:rsidRPr="00BF790C">
          <w:rPr>
            <w:rStyle w:val="Hyperlink"/>
            <w:rFonts w:ascii="Times New Roman" w:hAnsi="Times New Roman" w:cs="Times New Roman"/>
            <w:i/>
            <w:color w:val="auto"/>
            <w:sz w:val="24"/>
            <w:szCs w:val="24"/>
            <w:u w:val="none"/>
            <w:shd w:val="clear" w:color="auto" w:fill="FFFFFF"/>
          </w:rPr>
          <w:t>Economics Letters</w:t>
        </w:r>
      </w:hyperlink>
      <w:r>
        <w:rPr>
          <w:rFonts w:ascii="Times New Roman" w:hAnsi="Times New Roman" w:cs="Times New Roman"/>
          <w:sz w:val="24"/>
          <w:szCs w:val="24"/>
          <w:shd w:val="clear" w:color="auto" w:fill="FFFFFF"/>
        </w:rPr>
        <w:t>, Elsevier, Vol. 82(2</w:t>
      </w:r>
      <w:proofErr w:type="gramStart"/>
      <w:r>
        <w:rPr>
          <w:rFonts w:ascii="Times New Roman" w:hAnsi="Times New Roman" w:cs="Times New Roman"/>
          <w:sz w:val="24"/>
          <w:szCs w:val="24"/>
          <w:shd w:val="clear" w:color="auto" w:fill="FFFFFF"/>
        </w:rPr>
        <w:t>) :</w:t>
      </w:r>
      <w:proofErr w:type="gramEnd"/>
      <w:r>
        <w:rPr>
          <w:rFonts w:ascii="Times New Roman" w:hAnsi="Times New Roman" w:cs="Times New Roman"/>
          <w:sz w:val="24"/>
          <w:szCs w:val="24"/>
          <w:shd w:val="clear" w:color="auto" w:fill="FFFFFF"/>
        </w:rPr>
        <w:t xml:space="preserve"> </w:t>
      </w:r>
      <w:r w:rsidR="00D63606" w:rsidRPr="00BF790C">
        <w:rPr>
          <w:rFonts w:ascii="Times New Roman" w:hAnsi="Times New Roman" w:cs="Times New Roman"/>
          <w:sz w:val="24"/>
          <w:szCs w:val="24"/>
          <w:shd w:val="clear" w:color="auto" w:fill="FFFFFF"/>
        </w:rPr>
        <w:t>275-280.</w:t>
      </w:r>
    </w:p>
    <w:p w:rsidR="00D63606" w:rsidRPr="00BF790C" w:rsidRDefault="00D63606" w:rsidP="001F00BE">
      <w:pPr>
        <w:spacing w:after="0" w:line="480" w:lineRule="auto"/>
        <w:rPr>
          <w:rFonts w:ascii="Times New Roman" w:hAnsi="Times New Roman" w:cs="Times New Roman"/>
          <w:sz w:val="24"/>
          <w:szCs w:val="24"/>
        </w:rPr>
      </w:pPr>
    </w:p>
    <w:p w:rsidR="002701F6" w:rsidRPr="00BF790C" w:rsidRDefault="002701F6" w:rsidP="001F00BE">
      <w:pPr>
        <w:spacing w:line="480" w:lineRule="auto"/>
        <w:jc w:val="center"/>
        <w:rPr>
          <w:rFonts w:ascii="Times New Roman" w:hAnsi="Times New Roman" w:cs="Times New Roman"/>
          <w:b/>
          <w:sz w:val="24"/>
          <w:szCs w:val="24"/>
          <w:u w:val="single"/>
        </w:rPr>
      </w:pPr>
    </w:p>
    <w:p w:rsidR="002701F6" w:rsidRPr="00BF790C" w:rsidRDefault="002701F6" w:rsidP="001F00BE">
      <w:pPr>
        <w:spacing w:line="480" w:lineRule="auto"/>
        <w:rPr>
          <w:rFonts w:ascii="Times New Roman" w:hAnsi="Times New Roman" w:cs="Times New Roman"/>
          <w:b/>
          <w:sz w:val="24"/>
          <w:szCs w:val="24"/>
          <w:u w:val="single"/>
        </w:rPr>
      </w:pPr>
      <w:r w:rsidRPr="00BF790C">
        <w:rPr>
          <w:rFonts w:ascii="Times New Roman" w:hAnsi="Times New Roman" w:cs="Times New Roman"/>
          <w:b/>
          <w:sz w:val="24"/>
          <w:szCs w:val="24"/>
          <w:u w:val="single"/>
        </w:rPr>
        <w:br w:type="page"/>
      </w:r>
    </w:p>
    <w:p w:rsidR="00802ED5" w:rsidRPr="00BE1A6B" w:rsidRDefault="00BE1A6B" w:rsidP="001F00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APPENDIX</w:t>
      </w:r>
    </w:p>
    <w:tbl>
      <w:tblPr>
        <w:tblStyle w:val="TableGrid"/>
        <w:tblW w:w="7598" w:type="dxa"/>
        <w:tblLook w:val="04A0"/>
      </w:tblPr>
      <w:tblGrid>
        <w:gridCol w:w="2943"/>
        <w:gridCol w:w="1123"/>
        <w:gridCol w:w="1123"/>
        <w:gridCol w:w="2409"/>
      </w:tblGrid>
      <w:tr w:rsidR="00733C6E" w:rsidRPr="00BF790C">
        <w:trPr>
          <w:trHeight w:val="86"/>
        </w:trPr>
        <w:tc>
          <w:tcPr>
            <w:tcW w:w="7598" w:type="dxa"/>
            <w:gridSpan w:val="4"/>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Table 1. Retirement Sponsorship Rates by State, 2000</w:t>
            </w:r>
            <w:r w:rsidR="002545EC" w:rsidRPr="00BF790C">
              <w:rPr>
                <w:rFonts w:ascii="Times New Roman" w:eastAsia="Times New Roman" w:hAnsi="Times New Roman" w:cs="Times New Roman"/>
                <w:color w:val="000000"/>
                <w:sz w:val="24"/>
                <w:szCs w:val="24"/>
                <w:lang w:bidi="ar-SA"/>
              </w:rPr>
              <w:t>-2002</w:t>
            </w:r>
            <w:r w:rsidRPr="00BF790C">
              <w:rPr>
                <w:rFonts w:ascii="Times New Roman" w:eastAsia="Times New Roman" w:hAnsi="Times New Roman" w:cs="Times New Roman"/>
                <w:color w:val="000000"/>
                <w:sz w:val="24"/>
                <w:szCs w:val="24"/>
                <w:lang w:bidi="ar-SA"/>
              </w:rPr>
              <w:t xml:space="preserve"> and 2010</w:t>
            </w:r>
            <w:r w:rsidR="002545EC" w:rsidRPr="00BF790C">
              <w:rPr>
                <w:rFonts w:ascii="Times New Roman" w:eastAsia="Times New Roman" w:hAnsi="Times New Roman" w:cs="Times New Roman"/>
                <w:color w:val="000000"/>
                <w:sz w:val="24"/>
                <w:szCs w:val="24"/>
                <w:lang w:bidi="ar-SA"/>
              </w:rPr>
              <w:t>-2012</w:t>
            </w:r>
          </w:p>
        </w:tc>
      </w:tr>
      <w:tr w:rsidR="00733C6E" w:rsidRPr="00BF790C">
        <w:trPr>
          <w:trHeight w:val="118"/>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2000</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2010</w:t>
            </w:r>
          </w:p>
        </w:tc>
        <w:tc>
          <w:tcPr>
            <w:tcW w:w="2408" w:type="dxa"/>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Percentage Point Change</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Georgia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62.63%</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48.22%</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-14.41%</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Michigan</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67.08%</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54.35%</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-12.73%</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New Jersey</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62.13%</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50.86%</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-11.27%</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Utah</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64.82%</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54.42%</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-10.40%</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Tennesse</w:t>
            </w:r>
            <w:proofErr w:type="spellEnd"/>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61.84%</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51.85%</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-10.00%</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Texas</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57.14%</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47.16%</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-9.98%</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Pennsylvania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68.72%</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58.79%</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-9.93%</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Arizona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56.84%</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47.01%</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-9.83%</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Missouri</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66.34%</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57.20%</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-9.14%</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Hawaii</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62.75%</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54.00%</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-8.76%</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South Carolina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61.53%</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52.79%</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-8.74%</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Nevada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58.15%</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49.54%</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-8.61%</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Nebraska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66.48%</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57.97%</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-8.51%</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Rhode Island</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66.32%</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57.90%</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-8.42%</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US</w:t>
            </w:r>
          </w:p>
        </w:tc>
        <w:tc>
          <w:tcPr>
            <w:tcW w:w="1123" w:type="dxa"/>
            <w:noWrap/>
          </w:tcPr>
          <w:p w:rsidR="00733C6E" w:rsidRPr="00BF790C" w:rsidRDefault="00733C6E" w:rsidP="001F00BE">
            <w:pPr>
              <w:jc w:val="center"/>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61.41%</w:t>
            </w:r>
          </w:p>
        </w:tc>
        <w:tc>
          <w:tcPr>
            <w:tcW w:w="1123" w:type="dxa"/>
            <w:noWrap/>
          </w:tcPr>
          <w:p w:rsidR="00733C6E" w:rsidRPr="00BF790C" w:rsidRDefault="00733C6E" w:rsidP="001F00BE">
            <w:pPr>
              <w:jc w:val="center"/>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53.01%</w:t>
            </w:r>
          </w:p>
        </w:tc>
        <w:tc>
          <w:tcPr>
            <w:tcW w:w="2408" w:type="dxa"/>
            <w:noWrap/>
          </w:tcPr>
          <w:p w:rsidR="00733C6E" w:rsidRPr="00BF790C" w:rsidRDefault="00733C6E" w:rsidP="001F00BE">
            <w:pPr>
              <w:jc w:val="center"/>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-8.40%</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Mississippi</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58.80%</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50.59%</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-8.20%</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Indiana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64.91%</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56.71%</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-8.19%</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Louisiana </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56.76%</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48.64%</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-8.12%</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Florida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52.03%</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44.03%</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-8.00%</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Ohio</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66.30%</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58.45%</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-7.85%</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Virginia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67.04%</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59.55%</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-7.49%</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Massachusetts</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62.06%</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54.77%</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-7.29%</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Arkansas</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58.61%</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51.44%</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-7.17%</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Maryland</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66.52%</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59.37%</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-7.15%</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Kentucky</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62.34%</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55.25%</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-7.10%</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New York</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58.82%</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51.83%</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-6.99%</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Illinois</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63.29%</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56.30%</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-6.99%</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Delaware</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66.35%</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59.47%</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-6.88%</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Connecticut</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64.97%</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58.10%</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-6.87%</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New Mexico</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55.57%</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48.72%</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-6.86%</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Wisconsin</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69.38%</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62.53%</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-6.84%</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Minnesota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68.37%</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61.74%</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-6.63%</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Iowa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67.07%</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60.45%</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-6.62%</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California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53.34%</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46.75%</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-6.60%</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Maine</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62.36%</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56.30%</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-6.06%</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Alabama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63.27%</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57.28%</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-5.99%</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North Carolina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61.96%</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56.03%</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-5.92%</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Idaho</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58.43%</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52.85%</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-5.59%</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District of Columbia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66.61%</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61.03%</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-5.58%</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New Hampshire</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62.86%</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58.03%</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-4.83%</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Colorado</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59.31%</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55.57%</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-3.74%</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Alaska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63.04%</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60.58%</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-2.46%</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Wyoming</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60.61%</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58.84%</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-1.77%</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Washington</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62.06%</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60.36%</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-1.71%</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Oregon</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58.84%</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57.35%</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-1.49%</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South Dakota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60.58%</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59.34%</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-1.23%</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Kansas</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64.27%</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63.40%</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-0.87%</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North Dakota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62.57%</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62.16%</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-0.41%</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Vermont</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58.28%</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58.48%</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0.20%</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Montana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53.45%</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54.24%</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0.79%</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West Virginia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59.39%</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60.62%</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1.23%</w:t>
            </w:r>
          </w:p>
        </w:tc>
      </w:tr>
      <w:tr w:rsidR="00733C6E" w:rsidRPr="00BF790C">
        <w:trPr>
          <w:trHeight w:val="62"/>
        </w:trPr>
        <w:tc>
          <w:tcPr>
            <w:tcW w:w="2943" w:type="dxa"/>
            <w:noWrap/>
          </w:tcPr>
          <w:p w:rsidR="00733C6E" w:rsidRPr="00BF790C" w:rsidRDefault="00733C6E" w:rsidP="001F00BE">
            <w:pP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Oklahoma</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56.16%</w:t>
            </w:r>
          </w:p>
        </w:tc>
        <w:tc>
          <w:tcPr>
            <w:tcW w:w="1123"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58.79%</w:t>
            </w:r>
          </w:p>
        </w:tc>
        <w:tc>
          <w:tcPr>
            <w:tcW w:w="2408" w:type="dxa"/>
            <w:noWrap/>
          </w:tcPr>
          <w:p w:rsidR="00733C6E" w:rsidRPr="00BF790C" w:rsidRDefault="00733C6E" w:rsidP="001F00BE">
            <w:pPr>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2.63%</w:t>
            </w:r>
          </w:p>
        </w:tc>
      </w:tr>
      <w:tr w:rsidR="00733C6E" w:rsidRPr="00BF790C">
        <w:trPr>
          <w:trHeight w:val="342"/>
        </w:trPr>
        <w:tc>
          <w:tcPr>
            <w:tcW w:w="7598" w:type="dxa"/>
            <w:gridSpan w:val="4"/>
          </w:tcPr>
          <w:p w:rsidR="00733C6E" w:rsidRPr="00BF790C" w:rsidRDefault="00733C6E" w:rsidP="001F00BE">
            <w:pPr>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Data:</w:t>
            </w:r>
            <w:r w:rsidRPr="00BF790C">
              <w:rPr>
                <w:rFonts w:ascii="Times New Roman" w:eastAsia="Times New Roman" w:hAnsi="Times New Roman" w:cs="Times New Roman"/>
                <w:color w:val="000000"/>
                <w:sz w:val="24"/>
                <w:szCs w:val="24"/>
                <w:lang w:bidi="ar-SA"/>
              </w:rPr>
              <w:t xml:space="preserve"> Current Population Survey, March Supplement, 2000-2002 and 2010-2012. </w:t>
            </w:r>
            <w:r w:rsidRPr="00BF790C">
              <w:rPr>
                <w:rFonts w:ascii="Times New Roman" w:eastAsia="Times New Roman" w:hAnsi="Times New Roman" w:cs="Times New Roman"/>
                <w:i/>
                <w:iCs/>
                <w:color w:val="000000"/>
                <w:sz w:val="24"/>
                <w:szCs w:val="24"/>
                <w:lang w:bidi="ar-SA"/>
              </w:rPr>
              <w:t>Notes:</w:t>
            </w:r>
            <w:r w:rsidRPr="00BF790C">
              <w:rPr>
                <w:rFonts w:ascii="Times New Roman" w:eastAsia="Times New Roman" w:hAnsi="Times New Roman" w:cs="Times New Roman"/>
                <w:color w:val="000000"/>
                <w:sz w:val="24"/>
                <w:szCs w:val="24"/>
                <w:lang w:bidi="ar-SA"/>
              </w:rPr>
              <w:t xml:space="preserve"> Table is ranked by the percentage point change in retirement plan sponsorship.  Data on sponsorship refers to the respondent's longest held job in the previous calendar year.  State sponsorship rates for 2000 and 2010 are pooled three-year averages over the periods 1999-2001 and 2009-2011, respectively.  </w:t>
            </w:r>
          </w:p>
        </w:tc>
      </w:tr>
    </w:tbl>
    <w:p w:rsidR="00A65092" w:rsidRPr="00BF790C" w:rsidRDefault="00A65092" w:rsidP="001F00BE">
      <w:pPr>
        <w:spacing w:line="240" w:lineRule="auto"/>
        <w:rPr>
          <w:rFonts w:ascii="Times New Roman" w:hAnsi="Times New Roman" w:cs="Times New Roman"/>
          <w:sz w:val="24"/>
          <w:szCs w:val="24"/>
        </w:rPr>
      </w:pPr>
    </w:p>
    <w:p w:rsidR="0068167F" w:rsidRPr="00BF790C" w:rsidRDefault="0068167F" w:rsidP="001F00BE">
      <w:pPr>
        <w:spacing w:after="0" w:line="240" w:lineRule="auto"/>
        <w:rPr>
          <w:rFonts w:ascii="Times New Roman" w:hAnsi="Times New Roman" w:cs="Times New Roman"/>
          <w:sz w:val="24"/>
          <w:szCs w:val="24"/>
        </w:rPr>
      </w:pPr>
    </w:p>
    <w:tbl>
      <w:tblPr>
        <w:tblW w:w="0" w:type="auto"/>
        <w:tblInd w:w="95" w:type="dxa"/>
        <w:tblLook w:val="0000"/>
      </w:tblPr>
      <w:tblGrid>
        <w:gridCol w:w="4963"/>
        <w:gridCol w:w="1260"/>
        <w:gridCol w:w="1170"/>
        <w:gridCol w:w="1242"/>
        <w:gridCol w:w="576"/>
      </w:tblGrid>
      <w:tr w:rsidR="00EF6E0B" w:rsidRPr="00BF790C" w:rsidTr="00BE1A6B">
        <w:trPr>
          <w:trHeight w:hRule="exact" w:val="288"/>
        </w:trPr>
        <w:tc>
          <w:tcPr>
            <w:tcW w:w="49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EF6E0B" w:rsidRPr="00BF790C" w:rsidRDefault="00EF6E0B" w:rsidP="001F00BE">
            <w:pPr>
              <w:spacing w:after="0"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Table 2. Data Means Over Time</w:t>
            </w:r>
          </w:p>
        </w:tc>
        <w:tc>
          <w:tcPr>
            <w:tcW w:w="1260" w:type="dxa"/>
            <w:tcBorders>
              <w:top w:val="single" w:sz="8"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after="0"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 </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after="0"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 </w:t>
            </w:r>
          </w:p>
        </w:tc>
        <w:tc>
          <w:tcPr>
            <w:tcW w:w="1072" w:type="dxa"/>
            <w:tcBorders>
              <w:top w:val="single" w:sz="8"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after="0"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 </w:t>
            </w:r>
          </w:p>
        </w:tc>
        <w:tc>
          <w:tcPr>
            <w:tcW w:w="516" w:type="dxa"/>
            <w:tcBorders>
              <w:top w:val="single" w:sz="8"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after="0"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noWrap/>
            <w:vAlign w:val="bottom"/>
          </w:tcPr>
          <w:p w:rsidR="00EF6E0B" w:rsidRPr="00BF790C" w:rsidRDefault="00EF6E0B" w:rsidP="001F00BE">
            <w:pPr>
              <w:spacing w:after="0"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2000-2002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2010-2012</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Difference</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Male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0.53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0.53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xml:space="preserve"> </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Female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0.47</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xml:space="preserve"> </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Age 25-44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0.53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-0.07</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Age 45-54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0.28</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Age 55-64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0.20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0.06</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White non-Hispanic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0.73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0.69</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Black Non-Hispanic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Asian Non-Hispanic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Hispanic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Noncitizen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0.09</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Citizen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0.92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0.91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Less than HS education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0.08</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HS or some college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Associates’ degree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Bachelors’ degree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0.23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Masters, professional degree or Doctorate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Professional and technical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0.27</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Farmers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Managers, officials, proprietors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0.14</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Clerical and kindred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Sales workers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Craftsmen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Operatives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0.09</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Service workers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0.14</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Farm laborers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Laborers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Agriculture, forestry and Fishing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Mining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Utilities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Construction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0.07</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Manufacturing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Wholesale trade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Retail trade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Transportation and warehousing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Finance, Insurance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xml:space="preserve"> </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Real Estate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Professional services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0.07</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Management, administration and waste management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Education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Health care and social assistance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0.14</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Arts and entertainment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Accommodation and food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Other services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xml:space="preserve"> </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Public administration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proofErr w:type="spellStart"/>
            <w:r w:rsidRPr="00BF790C">
              <w:rPr>
                <w:rFonts w:ascii="Times New Roman" w:hAnsi="Times New Roman" w:cs="Times New Roman"/>
                <w:sz w:val="24"/>
                <w:szCs w:val="24"/>
                <w:lang w:bidi="ar-SA"/>
              </w:rPr>
              <w:t>Firmsz</w:t>
            </w:r>
            <w:proofErr w:type="spellEnd"/>
            <w:r w:rsidRPr="00BF790C">
              <w:rPr>
                <w:rFonts w:ascii="Times New Roman" w:hAnsi="Times New Roman" w:cs="Times New Roman"/>
                <w:sz w:val="24"/>
                <w:szCs w:val="24"/>
                <w:lang w:bidi="ar-SA"/>
              </w:rPr>
              <w:t xml:space="preserve"> 1-24 workers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0.28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0.33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proofErr w:type="spellStart"/>
            <w:r w:rsidRPr="00BF790C">
              <w:rPr>
                <w:rFonts w:ascii="Times New Roman" w:hAnsi="Times New Roman" w:cs="Times New Roman"/>
                <w:sz w:val="24"/>
                <w:szCs w:val="24"/>
                <w:lang w:bidi="ar-SA"/>
              </w:rPr>
              <w:t>Firmsz</w:t>
            </w:r>
            <w:proofErr w:type="spellEnd"/>
            <w:r w:rsidRPr="00BF790C">
              <w:rPr>
                <w:rFonts w:ascii="Times New Roman" w:hAnsi="Times New Roman" w:cs="Times New Roman"/>
                <w:sz w:val="24"/>
                <w:szCs w:val="24"/>
                <w:lang w:bidi="ar-SA"/>
              </w:rPr>
              <w:t xml:space="preserve"> 25-99 workers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0.09</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proofErr w:type="spellStart"/>
            <w:r w:rsidRPr="00BF790C">
              <w:rPr>
                <w:rFonts w:ascii="Times New Roman" w:hAnsi="Times New Roman" w:cs="Times New Roman"/>
                <w:sz w:val="24"/>
                <w:szCs w:val="24"/>
                <w:lang w:bidi="ar-SA"/>
              </w:rPr>
              <w:t>Firmsz</w:t>
            </w:r>
            <w:proofErr w:type="spellEnd"/>
            <w:r w:rsidRPr="00BF790C">
              <w:rPr>
                <w:rFonts w:ascii="Times New Roman" w:hAnsi="Times New Roman" w:cs="Times New Roman"/>
                <w:sz w:val="24"/>
                <w:szCs w:val="24"/>
                <w:lang w:bidi="ar-SA"/>
              </w:rPr>
              <w:t xml:space="preserve"> 100-499 workers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proofErr w:type="spellStart"/>
            <w:r w:rsidRPr="00BF790C">
              <w:rPr>
                <w:rFonts w:ascii="Times New Roman" w:hAnsi="Times New Roman" w:cs="Times New Roman"/>
                <w:sz w:val="24"/>
                <w:szCs w:val="24"/>
                <w:lang w:bidi="ar-SA"/>
              </w:rPr>
              <w:t>Firmsz</w:t>
            </w:r>
            <w:proofErr w:type="spellEnd"/>
            <w:r w:rsidRPr="00BF790C">
              <w:rPr>
                <w:rFonts w:ascii="Times New Roman" w:hAnsi="Times New Roman" w:cs="Times New Roman"/>
                <w:sz w:val="24"/>
                <w:szCs w:val="24"/>
                <w:lang w:bidi="ar-SA"/>
              </w:rPr>
              <w:t xml:space="preserve"> 500-999 workers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proofErr w:type="spellStart"/>
            <w:r w:rsidRPr="00BF790C">
              <w:rPr>
                <w:rFonts w:ascii="Times New Roman" w:hAnsi="Times New Roman" w:cs="Times New Roman"/>
                <w:sz w:val="24"/>
                <w:szCs w:val="24"/>
                <w:lang w:bidi="ar-SA"/>
              </w:rPr>
              <w:t>Firmsz</w:t>
            </w:r>
            <w:proofErr w:type="spellEnd"/>
            <w:r w:rsidRPr="00BF790C">
              <w:rPr>
                <w:rFonts w:ascii="Times New Roman" w:hAnsi="Times New Roman" w:cs="Times New Roman"/>
                <w:sz w:val="24"/>
                <w:szCs w:val="24"/>
                <w:lang w:bidi="ar-SA"/>
              </w:rPr>
              <w:t xml:space="preserve"> 1000+ workers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Part-time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Full-time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0.87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0.85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Number of Weeks Unemployed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1.11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2.35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1.24</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Non Metro Area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Metro Area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0.82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0.85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Self employed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xml:space="preserve"> </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Wage and salary worker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0.74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0.74</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Government worker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0.16</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Married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0.62</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Separated, divorced or widowed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0.16</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Never married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0.21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Sponsorship</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0.61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0.53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-0.08</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proofErr w:type="spellStart"/>
            <w:r w:rsidRPr="00BF790C">
              <w:rPr>
                <w:rFonts w:ascii="Times New Roman" w:hAnsi="Times New Roman" w:cs="Times New Roman"/>
                <w:sz w:val="24"/>
                <w:szCs w:val="24"/>
                <w:lang w:bidi="ar-SA"/>
              </w:rPr>
              <w:t>Gini</w:t>
            </w:r>
            <w:proofErr w:type="spellEnd"/>
            <w:r w:rsidRPr="00BF790C">
              <w:rPr>
                <w:rFonts w:ascii="Times New Roman" w:hAnsi="Times New Roman" w:cs="Times New Roman"/>
                <w:sz w:val="24"/>
                <w:szCs w:val="24"/>
                <w:lang w:bidi="ar-SA"/>
              </w:rPr>
              <w:t xml:space="preserve"> index for the state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0.44</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The share of workers age 25-64 with two years of college education or more in the state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0.47</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0.07</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noWrap/>
            <w:vAlign w:val="bottom"/>
          </w:tcPr>
          <w:p w:rsidR="00EF6E0B" w:rsidRPr="00BF790C" w:rsidRDefault="00C734A1"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T</w:t>
            </w:r>
            <w:r w:rsidR="00EF6E0B" w:rsidRPr="00BF790C">
              <w:rPr>
                <w:rFonts w:ascii="Times New Roman" w:hAnsi="Times New Roman" w:cs="Times New Roman"/>
                <w:sz w:val="24"/>
                <w:szCs w:val="24"/>
                <w:lang w:bidi="ar-SA"/>
              </w:rPr>
              <w:t>he percentage of employees working in small firms (99 employees or less) in the state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0.42</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noWrap/>
            <w:vAlign w:val="bottom"/>
          </w:tcPr>
          <w:p w:rsidR="00EF6E0B" w:rsidRPr="00BF790C" w:rsidRDefault="00C734A1"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T</w:t>
            </w:r>
            <w:r w:rsidR="00EF6E0B" w:rsidRPr="00BF790C">
              <w:rPr>
                <w:rFonts w:ascii="Times New Roman" w:hAnsi="Times New Roman" w:cs="Times New Roman"/>
                <w:sz w:val="24"/>
                <w:szCs w:val="24"/>
                <w:lang w:bidi="ar-SA"/>
              </w:rPr>
              <w:t>he percent of the population age 25-64 who is under 40 years of age in the state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0.44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0.39</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xml:space="preserve">Unemployment rate for age group 25-44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0.09</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Unemployment rate for age group 45-54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0.08</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0.05</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Unemployment rate for age group 55-64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0.07</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0.04</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 xml:space="preserve">Trend in Unemployment rate for age group 25-44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0.02</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Trend in Unemployment rate for age group 45-54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Trend in Unemployment rate for age group 55-64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0.01</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EF6E0B" w:rsidRPr="00BF790C" w:rsidTr="00BE1A6B">
        <w:trPr>
          <w:trHeight w:hRule="exact" w:val="288"/>
        </w:trPr>
        <w:tc>
          <w:tcPr>
            <w:tcW w:w="4963" w:type="dxa"/>
            <w:tcBorders>
              <w:top w:val="single" w:sz="4" w:space="0" w:color="auto"/>
              <w:left w:val="single" w:sz="8" w:space="0" w:color="auto"/>
              <w:bottom w:val="single" w:sz="4" w:space="0" w:color="auto"/>
              <w:right w:val="single" w:sz="4" w:space="0" w:color="auto"/>
            </w:tcBorders>
            <w:shd w:val="clear" w:color="auto" w:fill="auto"/>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Unionization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0.15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0B" w:rsidRPr="00BF790C" w:rsidRDefault="00EF6E0B" w:rsidP="001F00BE">
            <w:pPr>
              <w:spacing w:line="240" w:lineRule="auto"/>
              <w:jc w:val="center"/>
              <w:rPr>
                <w:rFonts w:ascii="Times New Roman" w:hAnsi="Times New Roman" w:cs="Times New Roman"/>
                <w:sz w:val="24"/>
                <w:szCs w:val="24"/>
                <w:lang w:bidi="ar-SA"/>
              </w:rPr>
            </w:pPr>
            <w:r w:rsidRPr="00BF790C">
              <w:rPr>
                <w:rFonts w:ascii="Times New Roman" w:hAnsi="Times New Roman" w:cs="Times New Roman"/>
                <w:sz w:val="24"/>
                <w:szCs w:val="24"/>
                <w:lang w:bidi="ar-SA"/>
              </w:rPr>
              <w:t>-0.03</w:t>
            </w:r>
          </w:p>
        </w:tc>
        <w:tc>
          <w:tcPr>
            <w:tcW w:w="5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F6E0B" w:rsidRPr="00BF790C" w:rsidRDefault="00EF6E0B" w:rsidP="001F00BE">
            <w:pPr>
              <w:spacing w:line="240" w:lineRule="auto"/>
              <w:rPr>
                <w:rFonts w:ascii="Times New Roman" w:hAnsi="Times New Roman" w:cs="Times New Roman"/>
                <w:sz w:val="24"/>
                <w:szCs w:val="24"/>
                <w:lang w:bidi="ar-SA"/>
              </w:rPr>
            </w:pPr>
            <w:r w:rsidRPr="00BF790C">
              <w:rPr>
                <w:rFonts w:ascii="Times New Roman" w:hAnsi="Times New Roman" w:cs="Times New Roman"/>
                <w:sz w:val="24"/>
                <w:szCs w:val="24"/>
                <w:lang w:bidi="ar-SA"/>
              </w:rPr>
              <w:t>***</w:t>
            </w:r>
          </w:p>
        </w:tc>
      </w:tr>
      <w:tr w:rsidR="009D71C8" w:rsidRPr="00BF790C" w:rsidTr="00A65AA2">
        <w:trPr>
          <w:trHeight w:hRule="exact" w:val="865"/>
        </w:trPr>
        <w:tc>
          <w:tcPr>
            <w:tcW w:w="8981" w:type="dxa"/>
            <w:gridSpan w:val="5"/>
            <w:tcBorders>
              <w:top w:val="single" w:sz="4" w:space="0" w:color="auto"/>
              <w:left w:val="single" w:sz="8" w:space="0" w:color="auto"/>
              <w:bottom w:val="single" w:sz="8" w:space="0" w:color="auto"/>
              <w:right w:val="single" w:sz="8" w:space="0" w:color="auto"/>
            </w:tcBorders>
            <w:shd w:val="clear" w:color="auto" w:fill="auto"/>
            <w:vAlign w:val="bottom"/>
          </w:tcPr>
          <w:p w:rsidR="009D71C8" w:rsidRPr="00BF790C" w:rsidRDefault="009D71C8" w:rsidP="001F00BE">
            <w:pPr>
              <w:spacing w:line="240" w:lineRule="auto"/>
              <w:rPr>
                <w:rFonts w:ascii="Times New Roman" w:hAnsi="Times New Roman" w:cs="Times New Roman"/>
                <w:sz w:val="24"/>
                <w:szCs w:val="24"/>
                <w:lang w:bidi="ar-SA"/>
              </w:rPr>
            </w:pPr>
            <w:r w:rsidRPr="00BF790C">
              <w:rPr>
                <w:rFonts w:ascii="Times New Roman" w:eastAsia="Times New Roman" w:hAnsi="Times New Roman" w:cs="Times New Roman"/>
                <w:i/>
                <w:iCs/>
                <w:color w:val="000000"/>
                <w:sz w:val="24"/>
                <w:szCs w:val="24"/>
                <w:lang w:bidi="ar-SA"/>
              </w:rPr>
              <w:t>Data:</w:t>
            </w:r>
            <w:r w:rsidRPr="00BF790C">
              <w:rPr>
                <w:rFonts w:ascii="Times New Roman" w:eastAsia="Times New Roman" w:hAnsi="Times New Roman" w:cs="Times New Roman"/>
                <w:color w:val="000000"/>
                <w:sz w:val="24"/>
                <w:szCs w:val="24"/>
                <w:lang w:bidi="ar-SA"/>
              </w:rPr>
              <w:t xml:space="preserve"> Current Population Survey, March Supplement, 2000-2002 and 2010-2012. </w:t>
            </w:r>
            <w:r w:rsidRPr="00BF790C">
              <w:rPr>
                <w:rFonts w:ascii="Times New Roman" w:eastAsia="Times New Roman" w:hAnsi="Times New Roman" w:cs="Times New Roman"/>
                <w:i/>
                <w:iCs/>
                <w:color w:val="000000"/>
                <w:sz w:val="24"/>
                <w:szCs w:val="24"/>
                <w:lang w:bidi="ar-SA"/>
              </w:rPr>
              <w:t>Notes</w:t>
            </w:r>
            <w:proofErr w:type="gramStart"/>
            <w:r w:rsidRPr="00BF790C">
              <w:rPr>
                <w:rFonts w:ascii="Times New Roman" w:eastAsia="Times New Roman" w:hAnsi="Times New Roman" w:cs="Times New Roman"/>
                <w:iCs/>
                <w:color w:val="000000"/>
                <w:sz w:val="24"/>
                <w:szCs w:val="24"/>
                <w:lang w:bidi="ar-SA"/>
              </w:rPr>
              <w:t>:*</w:t>
            </w:r>
            <w:proofErr w:type="gramEnd"/>
            <w:r w:rsidRPr="00BF790C">
              <w:rPr>
                <w:rFonts w:ascii="Times New Roman" w:eastAsia="Times New Roman" w:hAnsi="Times New Roman" w:cs="Times New Roman"/>
                <w:iCs/>
                <w:color w:val="000000"/>
                <w:sz w:val="24"/>
                <w:szCs w:val="24"/>
                <w:lang w:bidi="ar-SA"/>
              </w:rPr>
              <w:t>** denotes significance at the 1% level or better, ** denotes significance at the 5% level or better, and * denotes significance at the 10% level or better</w:t>
            </w:r>
            <w:r w:rsidRPr="00BF790C">
              <w:rPr>
                <w:rFonts w:ascii="Times New Roman" w:eastAsia="Times New Roman" w:hAnsi="Times New Roman" w:cs="Times New Roman"/>
                <w:i/>
                <w:iCs/>
                <w:color w:val="000000"/>
                <w:sz w:val="24"/>
                <w:szCs w:val="24"/>
                <w:lang w:bidi="ar-SA"/>
              </w:rPr>
              <w:t>.</w:t>
            </w:r>
          </w:p>
        </w:tc>
      </w:tr>
    </w:tbl>
    <w:p w:rsidR="00D64DDB" w:rsidRPr="00BF790C" w:rsidRDefault="00D64DDB" w:rsidP="001F00BE">
      <w:pPr>
        <w:spacing w:line="240" w:lineRule="auto"/>
        <w:rPr>
          <w:rFonts w:ascii="Times New Roman" w:hAnsi="Times New Roman" w:cs="Times New Roman"/>
          <w:sz w:val="24"/>
          <w:szCs w:val="24"/>
        </w:rPr>
      </w:pPr>
    </w:p>
    <w:tbl>
      <w:tblPr>
        <w:tblW w:w="9100" w:type="dxa"/>
        <w:tblInd w:w="98" w:type="dxa"/>
        <w:tblLook w:val="04A0"/>
      </w:tblPr>
      <w:tblGrid>
        <w:gridCol w:w="5394"/>
        <w:gridCol w:w="942"/>
        <w:gridCol w:w="999"/>
        <w:gridCol w:w="942"/>
        <w:gridCol w:w="823"/>
      </w:tblGrid>
      <w:tr w:rsidR="009651C7" w:rsidRPr="00BF790C" w:rsidTr="00BE1A6B">
        <w:trPr>
          <w:trHeight w:hRule="exact" w:val="288"/>
        </w:trPr>
        <w:tc>
          <w:tcPr>
            <w:tcW w:w="9100" w:type="dxa"/>
            <w:gridSpan w:val="5"/>
            <w:tcBorders>
              <w:top w:val="single" w:sz="8" w:space="0" w:color="auto"/>
              <w:left w:val="single" w:sz="8" w:space="0" w:color="auto"/>
              <w:bottom w:val="single" w:sz="8" w:space="0" w:color="auto"/>
              <w:right w:val="nil"/>
            </w:tcBorders>
            <w:shd w:val="clear" w:color="auto" w:fill="auto"/>
            <w:noWrap/>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Table 3: </w:t>
            </w:r>
            <w:proofErr w:type="spellStart"/>
            <w:r w:rsidRPr="00BF790C">
              <w:rPr>
                <w:rFonts w:ascii="Times New Roman" w:eastAsia="Times New Roman" w:hAnsi="Times New Roman" w:cs="Times New Roman"/>
                <w:color w:val="000000"/>
                <w:sz w:val="24"/>
                <w:szCs w:val="24"/>
                <w:lang w:bidi="ar-SA"/>
              </w:rPr>
              <w:t>Probit</w:t>
            </w:r>
            <w:proofErr w:type="spellEnd"/>
            <w:r w:rsidRPr="00BF790C">
              <w:rPr>
                <w:rFonts w:ascii="Times New Roman" w:eastAsia="Times New Roman" w:hAnsi="Times New Roman" w:cs="Times New Roman"/>
                <w:color w:val="000000"/>
                <w:sz w:val="24"/>
                <w:szCs w:val="24"/>
                <w:lang w:bidi="ar-SA"/>
              </w:rPr>
              <w:t xml:space="preserve"> Regression Results. </w:t>
            </w:r>
          </w:p>
        </w:tc>
      </w:tr>
      <w:tr w:rsidR="009651C7" w:rsidRPr="00BF790C" w:rsidTr="00BE1A6B">
        <w:trPr>
          <w:trHeight w:hRule="exact" w:val="288"/>
        </w:trPr>
        <w:tc>
          <w:tcPr>
            <w:tcW w:w="5394" w:type="dxa"/>
            <w:vMerge w:val="restart"/>
            <w:tcBorders>
              <w:top w:val="nil"/>
              <w:left w:val="nil"/>
              <w:bottom w:val="nil"/>
              <w:right w:val="single" w:sz="8" w:space="0" w:color="auto"/>
            </w:tcBorders>
            <w:shd w:val="clear" w:color="auto" w:fill="auto"/>
            <w:noWrap/>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Dependent Variable is Retirement Account Sponsorship</w:t>
            </w:r>
          </w:p>
        </w:tc>
        <w:tc>
          <w:tcPr>
            <w:tcW w:w="19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2000-2002</w:t>
            </w:r>
          </w:p>
        </w:tc>
        <w:tc>
          <w:tcPr>
            <w:tcW w:w="17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2010-2012</w:t>
            </w:r>
          </w:p>
        </w:tc>
      </w:tr>
      <w:tr w:rsidR="009651C7" w:rsidRPr="00BF790C" w:rsidTr="00BE1A6B">
        <w:trPr>
          <w:trHeight w:hRule="exact" w:val="288"/>
        </w:trPr>
        <w:tc>
          <w:tcPr>
            <w:tcW w:w="5394" w:type="dxa"/>
            <w:vMerge/>
            <w:tcBorders>
              <w:top w:val="nil"/>
              <w:left w:val="nil"/>
              <w:bottom w:val="nil"/>
              <w:right w:val="single" w:sz="8" w:space="0" w:color="auto"/>
            </w:tcBorders>
            <w:vAlign w:val="center"/>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Coef</w:t>
            </w:r>
            <w:proofErr w:type="spellEnd"/>
            <w:r w:rsidRPr="00BF790C">
              <w:rPr>
                <w:rFonts w:ascii="Times New Roman" w:eastAsia="Times New Roman" w:hAnsi="Times New Roman" w:cs="Times New Roman"/>
                <w:color w:val="000000"/>
                <w:sz w:val="24"/>
                <w:szCs w:val="24"/>
                <w:lang w:bidi="ar-SA"/>
              </w:rPr>
              <w:t>.</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Std.</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Coef</w:t>
            </w:r>
            <w:proofErr w:type="spellEnd"/>
            <w:r w:rsidRPr="00BF790C">
              <w:rPr>
                <w:rFonts w:ascii="Times New Roman" w:eastAsia="Times New Roman" w:hAnsi="Times New Roman" w:cs="Times New Roman"/>
                <w:color w:val="000000"/>
                <w:sz w:val="24"/>
                <w:szCs w:val="24"/>
                <w:lang w:bidi="ar-SA"/>
              </w:rPr>
              <w:t>.</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Std.</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Female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-0.064</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-0.090</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Age 45-54</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0.097</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0.068</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Age 55-64</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0.106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Black Non-Hispanic</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-0.121</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-0.180</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Asian Non-Hispanic</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-0.171</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-0.189</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Hispanic</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-0.235</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-0.246</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Citizen</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0.312</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0.367</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HS or some college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0.281</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0.268</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Associates’ degree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0.404</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0.368</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Bachelors’ degree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0.414</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0.437</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Masters, professional degree or Doctorate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0.538</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0.535</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Farmers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-0.395</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Managers, officials, proprietors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0.007</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Clerical and kindred</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-0.044</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-0.081</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Sales workers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-0.233</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Craftsmen</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-0.042</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-0.110</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Operatives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-0.177</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-0.262</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Service workers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-0.279</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-0.312</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Farm laborers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-0.663</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-0.407</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Laborers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-0.207</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-0.337</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Mining</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0.331</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0.433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Utilities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0.506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0.651</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Construction</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0.066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0.172</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Manufacturing</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0.295</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0.491</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Wholesale trade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0.224</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0.432</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Retail trade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0.014</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0.143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Transportation and warehousing</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0.053</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0.280</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Information</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0.197</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0.365</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Finance, Insurance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0.343</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0.582</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Real Estate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-0.062</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-0.031</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Professional services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0.190</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0.476</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Management, administration and waste management</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-0.160</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-0.050</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Education</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0.184</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0.298</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Health care and social assistance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0.207</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0.348</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Arts and entertainment</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-0.048</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0.121</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Accommodation and food</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-0.332</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-0.185</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Other services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-0.103</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Public administration</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0.316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0.384</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Firmsz</w:t>
            </w:r>
            <w:proofErr w:type="spellEnd"/>
            <w:r w:rsidRPr="00BF790C">
              <w:rPr>
                <w:rFonts w:ascii="Times New Roman" w:eastAsia="Times New Roman" w:hAnsi="Times New Roman" w:cs="Times New Roman"/>
                <w:color w:val="000000"/>
                <w:sz w:val="24"/>
                <w:szCs w:val="24"/>
                <w:lang w:bidi="ar-SA"/>
              </w:rPr>
              <w:t xml:space="preserve"> 25-99 workers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0.485</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0.589</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Firmsz</w:t>
            </w:r>
            <w:proofErr w:type="spellEnd"/>
            <w:r w:rsidRPr="00BF790C">
              <w:rPr>
                <w:rFonts w:ascii="Times New Roman" w:eastAsia="Times New Roman" w:hAnsi="Times New Roman" w:cs="Times New Roman"/>
                <w:color w:val="000000"/>
                <w:sz w:val="24"/>
                <w:szCs w:val="24"/>
                <w:lang w:bidi="ar-SA"/>
              </w:rPr>
              <w:t xml:space="preserve"> 100-499 workers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0.723</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0.887</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Firmsz</w:t>
            </w:r>
            <w:proofErr w:type="spellEnd"/>
            <w:r w:rsidRPr="00BF790C">
              <w:rPr>
                <w:rFonts w:ascii="Times New Roman" w:eastAsia="Times New Roman" w:hAnsi="Times New Roman" w:cs="Times New Roman"/>
                <w:color w:val="000000"/>
                <w:sz w:val="24"/>
                <w:szCs w:val="24"/>
                <w:lang w:bidi="ar-SA"/>
              </w:rPr>
              <w:t xml:space="preserve"> 500-999 workers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0.863</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1.038</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Firmsz</w:t>
            </w:r>
            <w:proofErr w:type="spellEnd"/>
            <w:r w:rsidRPr="00BF790C">
              <w:rPr>
                <w:rFonts w:ascii="Times New Roman" w:eastAsia="Times New Roman" w:hAnsi="Times New Roman" w:cs="Times New Roman"/>
                <w:color w:val="000000"/>
                <w:sz w:val="24"/>
                <w:szCs w:val="24"/>
                <w:lang w:bidi="ar-SA"/>
              </w:rPr>
              <w:t xml:space="preserve"> 1000+ workers</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1.045</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1.234</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Full-time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0.426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0.424</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Number of Weeks Unemployed</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-0.015</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-0.016</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Metro Area</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0.033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Wage and salary worker</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0.709</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0.598</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Government worker</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1.068</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0.964</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Separated, divorced or widowed</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-0.086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-0.093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Never married</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-0.147</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-0.168</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w:t>
            </w:r>
          </w:p>
        </w:tc>
      </w:tr>
      <w:tr w:rsidR="009651C7" w:rsidRPr="00BF790C" w:rsidTr="00BE1A6B">
        <w:trPr>
          <w:trHeight w:hRule="exact" w:val="288"/>
        </w:trPr>
        <w:tc>
          <w:tcPr>
            <w:tcW w:w="5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51C7" w:rsidRPr="00BF790C" w:rsidRDefault="00454974" w:rsidP="001F00BE">
            <w:pPr>
              <w:spacing w:after="0" w:line="240" w:lineRule="auto"/>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G</w:t>
            </w:r>
            <w:r w:rsidR="009651C7" w:rsidRPr="00BF790C">
              <w:rPr>
                <w:rFonts w:ascii="Times New Roman" w:eastAsia="Times New Roman" w:hAnsi="Times New Roman" w:cs="Times New Roman"/>
                <w:color w:val="000000"/>
                <w:sz w:val="24"/>
                <w:szCs w:val="24"/>
                <w:lang w:bidi="ar-SA"/>
              </w:rPr>
              <w:t>ini</w:t>
            </w:r>
            <w:proofErr w:type="spellEnd"/>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-3.225</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0.004</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-2.510</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0.005</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The share of workers age 25-64 with two years of college education or more in the state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0.203</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0.395</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The percentage of employees working in small firms (99 employees or less) in the state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-0.756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-1.166</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The percent of the population age 25-64 who is under 40 years of age in the state</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0.106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-1.484</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0.004</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Unemployment rate for age group 25-44 </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-0.150</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0.008</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-3.200</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0.018</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Unemployment rate for age group 45-54</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-2.470</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0.009</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4.163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Unemployment rate for age group 55-64</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2.436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0.010</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1.044</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Trend in Unemployment rate for age group 25-44 </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-2.331</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0.015</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3.151</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0.026</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Trend in Unemployment rate for age group 45-54</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2.190</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0.018</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-0.543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0.020</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Trend in Unemployment rate for age group 55-64</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-0.848</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0.016</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0.791</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0.016</w:t>
            </w:r>
          </w:p>
        </w:tc>
      </w:tr>
      <w:tr w:rsidR="009651C7" w:rsidRPr="00BF790C" w:rsidTr="00BE1A6B">
        <w:trPr>
          <w:trHeight w:hRule="exact" w:val="288"/>
        </w:trPr>
        <w:tc>
          <w:tcPr>
            <w:tcW w:w="5394" w:type="dxa"/>
            <w:tcBorders>
              <w:top w:val="nil"/>
              <w:left w:val="single" w:sz="8" w:space="0" w:color="auto"/>
              <w:bottom w:val="single" w:sz="8" w:space="0" w:color="auto"/>
              <w:right w:val="single" w:sz="8" w:space="0" w:color="auto"/>
            </w:tcBorders>
            <w:shd w:val="clear" w:color="auto" w:fill="auto"/>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Unionization</w:t>
            </w:r>
          </w:p>
        </w:tc>
        <w:tc>
          <w:tcPr>
            <w:tcW w:w="942" w:type="dxa"/>
            <w:tcBorders>
              <w:top w:val="nil"/>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0.704</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0.453</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w:t>
            </w:r>
          </w:p>
        </w:tc>
      </w:tr>
      <w:tr w:rsidR="009651C7" w:rsidRPr="00BF790C" w:rsidTr="00BE1A6B">
        <w:trPr>
          <w:trHeight w:hRule="exact" w:val="288"/>
        </w:trPr>
        <w:tc>
          <w:tcPr>
            <w:tcW w:w="5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Intercept</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-0.556</w:t>
            </w:r>
          </w:p>
        </w:tc>
        <w:tc>
          <w:tcPr>
            <w:tcW w:w="999"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w:t>
            </w:r>
          </w:p>
        </w:tc>
        <w:tc>
          <w:tcPr>
            <w:tcW w:w="942"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-0.126</w:t>
            </w:r>
          </w:p>
        </w:tc>
        <w:tc>
          <w:tcPr>
            <w:tcW w:w="823" w:type="dxa"/>
            <w:tcBorders>
              <w:top w:val="nil"/>
              <w:left w:val="nil"/>
              <w:bottom w:val="single" w:sz="8"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w:t>
            </w:r>
          </w:p>
        </w:tc>
      </w:tr>
      <w:tr w:rsidR="009651C7" w:rsidRPr="00BF790C" w:rsidTr="00BE1A6B">
        <w:trPr>
          <w:trHeight w:hRule="exact" w:val="288"/>
        </w:trPr>
        <w:tc>
          <w:tcPr>
            <w:tcW w:w="5394" w:type="dxa"/>
            <w:tcBorders>
              <w:top w:val="nil"/>
              <w:left w:val="single" w:sz="8" w:space="0" w:color="auto"/>
              <w:bottom w:val="single" w:sz="4" w:space="0" w:color="auto"/>
              <w:right w:val="single" w:sz="8" w:space="0" w:color="auto"/>
            </w:tcBorders>
            <w:shd w:val="clear" w:color="auto" w:fill="auto"/>
            <w:noWrap/>
            <w:vAlign w:val="bottom"/>
            <w:hideMark/>
          </w:tcPr>
          <w:p w:rsidR="009651C7" w:rsidRPr="00BF790C" w:rsidRDefault="009651C7"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Pseudo R2</w:t>
            </w:r>
          </w:p>
        </w:tc>
        <w:tc>
          <w:tcPr>
            <w:tcW w:w="942" w:type="dxa"/>
            <w:tcBorders>
              <w:top w:val="nil"/>
              <w:left w:val="nil"/>
              <w:bottom w:val="single" w:sz="4"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99" w:type="dxa"/>
            <w:tcBorders>
              <w:top w:val="nil"/>
              <w:left w:val="nil"/>
              <w:bottom w:val="single" w:sz="4"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0.2549</w:t>
            </w:r>
          </w:p>
        </w:tc>
        <w:tc>
          <w:tcPr>
            <w:tcW w:w="942" w:type="dxa"/>
            <w:tcBorders>
              <w:top w:val="nil"/>
              <w:left w:val="nil"/>
              <w:bottom w:val="single" w:sz="4"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823" w:type="dxa"/>
            <w:tcBorders>
              <w:top w:val="nil"/>
              <w:left w:val="nil"/>
              <w:bottom w:val="single" w:sz="4" w:space="0" w:color="auto"/>
              <w:right w:val="single" w:sz="8" w:space="0" w:color="auto"/>
            </w:tcBorders>
            <w:shd w:val="clear" w:color="auto" w:fill="auto"/>
            <w:noWrap/>
            <w:vAlign w:val="bottom"/>
            <w:hideMark/>
          </w:tcPr>
          <w:p w:rsidR="009651C7" w:rsidRPr="00BF790C" w:rsidRDefault="009651C7"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0.277</w:t>
            </w:r>
          </w:p>
        </w:tc>
      </w:tr>
      <w:tr w:rsidR="00235FC4" w:rsidRPr="00BF790C" w:rsidTr="00BE1A6B">
        <w:trPr>
          <w:trHeight w:hRule="exact" w:val="288"/>
        </w:trPr>
        <w:tc>
          <w:tcPr>
            <w:tcW w:w="9100" w:type="dxa"/>
            <w:gridSpan w:val="5"/>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35FC4" w:rsidRPr="00BF790C" w:rsidRDefault="00235FC4" w:rsidP="001F00BE">
            <w:pPr>
              <w:spacing w:line="240" w:lineRule="auto"/>
              <w:rPr>
                <w:rFonts w:ascii="Times New Roman" w:hAnsi="Times New Roman" w:cs="Times New Roman"/>
                <w:sz w:val="24"/>
                <w:szCs w:val="24"/>
                <w:lang w:bidi="ar-SA"/>
              </w:rPr>
            </w:pPr>
            <w:r w:rsidRPr="00BF790C">
              <w:rPr>
                <w:rFonts w:ascii="Times New Roman" w:eastAsia="Times New Roman" w:hAnsi="Times New Roman" w:cs="Times New Roman"/>
                <w:i/>
                <w:iCs/>
                <w:color w:val="000000"/>
                <w:sz w:val="24"/>
                <w:szCs w:val="24"/>
                <w:lang w:bidi="ar-SA"/>
              </w:rPr>
              <w:t>Data:</w:t>
            </w:r>
            <w:r w:rsidRPr="00BF790C">
              <w:rPr>
                <w:rFonts w:ascii="Times New Roman" w:eastAsia="Times New Roman" w:hAnsi="Times New Roman" w:cs="Times New Roman"/>
                <w:color w:val="000000"/>
                <w:sz w:val="24"/>
                <w:szCs w:val="24"/>
                <w:lang w:bidi="ar-SA"/>
              </w:rPr>
              <w:t xml:space="preserve"> Current Population Survey, March Supplement, 2000-2002 and 2010-2012. </w:t>
            </w:r>
          </w:p>
        </w:tc>
      </w:tr>
    </w:tbl>
    <w:p w:rsidR="00991DBF" w:rsidRDefault="00991DBF" w:rsidP="001F00BE">
      <w:pPr>
        <w:spacing w:line="240" w:lineRule="auto"/>
        <w:rPr>
          <w:rFonts w:ascii="Times New Roman" w:hAnsi="Times New Roman" w:cs="Times New Roman"/>
          <w:sz w:val="24"/>
          <w:szCs w:val="24"/>
        </w:rPr>
      </w:pPr>
    </w:p>
    <w:p w:rsidR="006C5CFC" w:rsidRDefault="006C5CFC" w:rsidP="001F00BE">
      <w:pPr>
        <w:spacing w:line="240" w:lineRule="auto"/>
        <w:rPr>
          <w:rFonts w:ascii="Times New Roman" w:hAnsi="Times New Roman" w:cs="Times New Roman"/>
          <w:sz w:val="24"/>
          <w:szCs w:val="24"/>
        </w:rPr>
      </w:pPr>
    </w:p>
    <w:p w:rsidR="006C5CFC" w:rsidRPr="00BF790C" w:rsidRDefault="006C5CFC" w:rsidP="001F00BE">
      <w:pPr>
        <w:spacing w:line="240" w:lineRule="auto"/>
        <w:rPr>
          <w:rFonts w:ascii="Times New Roman" w:hAnsi="Times New Roman" w:cs="Times New Roman"/>
          <w:sz w:val="24"/>
          <w:szCs w:val="24"/>
        </w:rPr>
      </w:pPr>
      <w:proofErr w:type="gramStart"/>
      <w:r w:rsidRPr="00BF790C">
        <w:rPr>
          <w:rFonts w:ascii="Times New Roman" w:hAnsi="Times New Roman" w:cs="Times New Roman"/>
          <w:sz w:val="24"/>
          <w:szCs w:val="24"/>
        </w:rPr>
        <w:t>Table 4.</w:t>
      </w:r>
      <w:proofErr w:type="gramEnd"/>
      <w:r w:rsidRPr="00BF790C">
        <w:rPr>
          <w:rFonts w:ascii="Times New Roman" w:hAnsi="Times New Roman" w:cs="Times New Roman"/>
          <w:sz w:val="24"/>
          <w:szCs w:val="24"/>
        </w:rPr>
        <w:t xml:space="preserve"> Aggregate decomposition results explaining the Decline in Retirement Account Sponsorship </w:t>
      </w:r>
    </w:p>
    <w:tbl>
      <w:tblPr>
        <w:tblStyle w:val="TableGrid"/>
        <w:tblW w:w="9062" w:type="dxa"/>
        <w:tblLook w:val="04A0"/>
      </w:tblPr>
      <w:tblGrid>
        <w:gridCol w:w="2001"/>
        <w:gridCol w:w="1901"/>
        <w:gridCol w:w="1720"/>
        <w:gridCol w:w="1720"/>
        <w:gridCol w:w="1720"/>
      </w:tblGrid>
      <w:tr w:rsidR="006C5CFC" w:rsidRPr="00BF790C" w:rsidTr="00E6132B">
        <w:trPr>
          <w:trHeight w:val="20"/>
        </w:trPr>
        <w:tc>
          <w:tcPr>
            <w:tcW w:w="2001" w:type="dxa"/>
            <w:noWrap/>
            <w:hideMark/>
          </w:tcPr>
          <w:p w:rsidR="006C5CFC" w:rsidRPr="00BF790C" w:rsidRDefault="006C5CFC" w:rsidP="001F00BE">
            <w:pPr>
              <w:jc w:val="center"/>
              <w:rPr>
                <w:rFonts w:ascii="Times New Roman" w:hAnsi="Times New Roman" w:cs="Times New Roman"/>
                <w:color w:val="000000"/>
                <w:sz w:val="24"/>
                <w:szCs w:val="24"/>
              </w:rPr>
            </w:pPr>
          </w:p>
        </w:tc>
        <w:tc>
          <w:tcPr>
            <w:tcW w:w="1901" w:type="dxa"/>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b/>
                <w:bCs/>
                <w:color w:val="000000"/>
                <w:sz w:val="24"/>
                <w:szCs w:val="24"/>
              </w:rPr>
              <w:t>Total change</w:t>
            </w:r>
          </w:p>
        </w:tc>
        <w:tc>
          <w:tcPr>
            <w:tcW w:w="1720" w:type="dxa"/>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b/>
                <w:bCs/>
                <w:color w:val="000000"/>
                <w:sz w:val="24"/>
                <w:szCs w:val="24"/>
              </w:rPr>
              <w:t>Endowment Effect</w:t>
            </w:r>
          </w:p>
        </w:tc>
        <w:tc>
          <w:tcPr>
            <w:tcW w:w="1720" w:type="dxa"/>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b/>
                <w:bCs/>
                <w:color w:val="000000"/>
                <w:sz w:val="24"/>
                <w:szCs w:val="24"/>
              </w:rPr>
              <w:t>Coefficient Effect</w:t>
            </w:r>
          </w:p>
        </w:tc>
        <w:tc>
          <w:tcPr>
            <w:tcW w:w="1720" w:type="dxa"/>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b/>
                <w:bCs/>
                <w:color w:val="000000"/>
                <w:sz w:val="24"/>
                <w:szCs w:val="24"/>
              </w:rPr>
              <w:t>Interaction term</w:t>
            </w:r>
          </w:p>
        </w:tc>
      </w:tr>
      <w:tr w:rsidR="006C5CFC" w:rsidRPr="00BF790C" w:rsidTr="00E6132B">
        <w:trPr>
          <w:trHeight w:val="20"/>
        </w:trPr>
        <w:tc>
          <w:tcPr>
            <w:tcW w:w="2001" w:type="dxa"/>
            <w:noWrap/>
            <w:hideMark/>
          </w:tcPr>
          <w:p w:rsidR="006C5CFC" w:rsidRPr="00BF790C" w:rsidRDefault="006C5CFC" w:rsidP="001F00BE">
            <w:pPr>
              <w:jc w:val="center"/>
              <w:rPr>
                <w:rFonts w:ascii="Times New Roman" w:hAnsi="Times New Roman" w:cs="Times New Roman"/>
                <w:color w:val="000000"/>
                <w:sz w:val="24"/>
                <w:szCs w:val="24"/>
              </w:rPr>
            </w:pPr>
          </w:p>
        </w:tc>
        <w:tc>
          <w:tcPr>
            <w:tcW w:w="1901" w:type="dxa"/>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Total change in predicted coverage explained by model</w:t>
            </w:r>
          </w:p>
        </w:tc>
        <w:tc>
          <w:tcPr>
            <w:tcW w:w="1720" w:type="dxa"/>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If only the variables changed (2001 betas *change in the X’s)</w:t>
            </w:r>
          </w:p>
        </w:tc>
        <w:tc>
          <w:tcPr>
            <w:tcW w:w="1720" w:type="dxa"/>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If only the sensitivities or determinants changed (2001 X’s*change in the betas)</w:t>
            </w:r>
          </w:p>
        </w:tc>
        <w:tc>
          <w:tcPr>
            <w:tcW w:w="1720" w:type="dxa"/>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Interaction term (changes in betas * changes in X’s)</w:t>
            </w:r>
          </w:p>
        </w:tc>
      </w:tr>
      <w:tr w:rsidR="006C5CFC" w:rsidRPr="00BF790C" w:rsidTr="00E6132B">
        <w:trPr>
          <w:trHeight w:val="20"/>
        </w:trPr>
        <w:tc>
          <w:tcPr>
            <w:tcW w:w="2001" w:type="dxa"/>
            <w:noWrap/>
            <w:hideMark/>
          </w:tcPr>
          <w:p w:rsidR="006C5CFC" w:rsidRPr="00BF790C" w:rsidRDefault="006C5CFC" w:rsidP="001F00BE">
            <w:pPr>
              <w:rPr>
                <w:rFonts w:ascii="Times New Roman" w:hAnsi="Times New Roman" w:cs="Times New Roman"/>
                <w:color w:val="000000"/>
                <w:sz w:val="24"/>
                <w:szCs w:val="24"/>
              </w:rPr>
            </w:pPr>
            <w:r w:rsidRPr="00BF790C">
              <w:rPr>
                <w:rFonts w:ascii="Times New Roman" w:hAnsi="Times New Roman" w:cs="Times New Roman"/>
                <w:color w:val="000000"/>
                <w:sz w:val="24"/>
                <w:szCs w:val="24"/>
              </w:rPr>
              <w:t>Total Predicted Change</w:t>
            </w:r>
          </w:p>
        </w:tc>
        <w:tc>
          <w:tcPr>
            <w:tcW w:w="1901"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-0.08</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0.02</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-0.03</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-0.08</w:t>
            </w:r>
          </w:p>
        </w:tc>
      </w:tr>
      <w:tr w:rsidR="006C5CFC" w:rsidRPr="00BF790C" w:rsidTr="00E6132B">
        <w:trPr>
          <w:trHeight w:val="20"/>
        </w:trPr>
        <w:tc>
          <w:tcPr>
            <w:tcW w:w="2001" w:type="dxa"/>
            <w:noWrap/>
            <w:hideMark/>
          </w:tcPr>
          <w:p w:rsidR="006C5CFC" w:rsidRPr="00BF790C" w:rsidRDefault="006C5CFC" w:rsidP="001F00BE">
            <w:pPr>
              <w:rPr>
                <w:rFonts w:ascii="Times New Roman" w:hAnsi="Times New Roman" w:cs="Times New Roman"/>
                <w:color w:val="000000"/>
                <w:sz w:val="24"/>
                <w:szCs w:val="24"/>
              </w:rPr>
            </w:pPr>
            <w:r w:rsidRPr="00BF790C">
              <w:rPr>
                <w:rFonts w:ascii="Times New Roman" w:hAnsi="Times New Roman" w:cs="Times New Roman"/>
                <w:color w:val="000000"/>
                <w:sz w:val="24"/>
                <w:szCs w:val="24"/>
              </w:rPr>
              <w:t>State level variables</w:t>
            </w:r>
          </w:p>
        </w:tc>
        <w:tc>
          <w:tcPr>
            <w:tcW w:w="1901"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0.10</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0.04</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0.14</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-0.08</w:t>
            </w:r>
          </w:p>
        </w:tc>
      </w:tr>
      <w:tr w:rsidR="006C5CFC" w:rsidRPr="00BF790C" w:rsidTr="00E6132B">
        <w:trPr>
          <w:trHeight w:val="20"/>
        </w:trPr>
        <w:tc>
          <w:tcPr>
            <w:tcW w:w="2001" w:type="dxa"/>
            <w:hideMark/>
          </w:tcPr>
          <w:p w:rsidR="006C5CFC" w:rsidRPr="00BF790C" w:rsidRDefault="006C5CFC" w:rsidP="001F00BE">
            <w:pPr>
              <w:rPr>
                <w:rFonts w:ascii="Times New Roman" w:hAnsi="Times New Roman" w:cs="Times New Roman"/>
                <w:color w:val="000000"/>
                <w:sz w:val="24"/>
                <w:szCs w:val="24"/>
              </w:rPr>
            </w:pPr>
            <w:r w:rsidRPr="00BF790C">
              <w:rPr>
                <w:rFonts w:ascii="Times New Roman" w:hAnsi="Times New Roman" w:cs="Times New Roman"/>
                <w:color w:val="000000"/>
                <w:sz w:val="24"/>
                <w:szCs w:val="24"/>
              </w:rPr>
              <w:t>Individual and firm level variables</w:t>
            </w:r>
          </w:p>
        </w:tc>
        <w:tc>
          <w:tcPr>
            <w:tcW w:w="1901"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-0.02</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-0.02</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-0.01</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0.00</w:t>
            </w:r>
          </w:p>
        </w:tc>
      </w:tr>
      <w:tr w:rsidR="006C5CFC" w:rsidRPr="00BF790C" w:rsidTr="00E6132B">
        <w:trPr>
          <w:trHeight w:val="20"/>
        </w:trPr>
        <w:tc>
          <w:tcPr>
            <w:tcW w:w="2001" w:type="dxa"/>
            <w:hideMark/>
          </w:tcPr>
          <w:p w:rsidR="006C5CFC" w:rsidRPr="00BF790C" w:rsidRDefault="006C5CFC" w:rsidP="001F00BE">
            <w:pPr>
              <w:rPr>
                <w:rFonts w:ascii="Times New Roman" w:hAnsi="Times New Roman" w:cs="Times New Roman"/>
                <w:color w:val="000000"/>
                <w:sz w:val="24"/>
                <w:szCs w:val="24"/>
              </w:rPr>
            </w:pPr>
            <w:r w:rsidRPr="00BF790C">
              <w:rPr>
                <w:rFonts w:ascii="Times New Roman" w:hAnsi="Times New Roman" w:cs="Times New Roman"/>
                <w:color w:val="000000"/>
                <w:sz w:val="24"/>
                <w:szCs w:val="24"/>
              </w:rPr>
              <w:t>Intercept Term</w:t>
            </w:r>
          </w:p>
        </w:tc>
        <w:tc>
          <w:tcPr>
            <w:tcW w:w="1901"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-0.16</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0.00</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-0.16</w:t>
            </w:r>
          </w:p>
        </w:tc>
        <w:tc>
          <w:tcPr>
            <w:tcW w:w="1720" w:type="dxa"/>
            <w:noWrap/>
            <w:hideMark/>
          </w:tcPr>
          <w:p w:rsidR="006C5CFC" w:rsidRPr="00BF790C" w:rsidRDefault="006C5CFC" w:rsidP="001F00BE">
            <w:pPr>
              <w:jc w:val="center"/>
              <w:rPr>
                <w:rFonts w:ascii="Times New Roman" w:hAnsi="Times New Roman" w:cs="Times New Roman"/>
                <w:color w:val="000000"/>
                <w:sz w:val="24"/>
                <w:szCs w:val="24"/>
              </w:rPr>
            </w:pPr>
            <w:r w:rsidRPr="00BF790C">
              <w:rPr>
                <w:rFonts w:ascii="Times New Roman" w:hAnsi="Times New Roman" w:cs="Times New Roman"/>
                <w:color w:val="000000"/>
                <w:sz w:val="24"/>
                <w:szCs w:val="24"/>
              </w:rPr>
              <w:t>0.00</w:t>
            </w:r>
          </w:p>
        </w:tc>
      </w:tr>
    </w:tbl>
    <w:p w:rsidR="006C5CFC" w:rsidRPr="00BF790C" w:rsidRDefault="006C5CFC" w:rsidP="001F00BE">
      <w:pPr>
        <w:spacing w:line="240" w:lineRule="auto"/>
        <w:rPr>
          <w:rFonts w:ascii="Times New Roman" w:hAnsi="Times New Roman" w:cs="Times New Roman"/>
          <w:sz w:val="24"/>
          <w:szCs w:val="24"/>
        </w:rPr>
      </w:pPr>
    </w:p>
    <w:p w:rsidR="006C5CFC" w:rsidRPr="00BF790C" w:rsidRDefault="006C5CFC" w:rsidP="001F00BE">
      <w:pPr>
        <w:spacing w:line="240" w:lineRule="auto"/>
        <w:rPr>
          <w:rFonts w:ascii="Times New Roman" w:hAnsi="Times New Roman" w:cs="Times New Roman"/>
          <w:sz w:val="24"/>
          <w:szCs w:val="24"/>
        </w:rPr>
      </w:pPr>
    </w:p>
    <w:tbl>
      <w:tblPr>
        <w:tblW w:w="8020"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766"/>
        <w:gridCol w:w="1183"/>
        <w:gridCol w:w="576"/>
        <w:gridCol w:w="1260"/>
        <w:gridCol w:w="576"/>
        <w:gridCol w:w="1083"/>
        <w:gridCol w:w="576"/>
      </w:tblGrid>
      <w:tr w:rsidR="00E1312D" w:rsidRPr="00BF790C" w:rsidTr="00BE1A6B">
        <w:trPr>
          <w:trHeight w:hRule="exact" w:val="288"/>
        </w:trPr>
        <w:tc>
          <w:tcPr>
            <w:tcW w:w="8020" w:type="dxa"/>
            <w:gridSpan w:val="7"/>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Table 5. Detailed Decomposition Results</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1723" w:type="dxa"/>
            <w:gridSpan w:val="2"/>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Endowment Effect</w:t>
            </w:r>
          </w:p>
        </w:tc>
        <w:tc>
          <w:tcPr>
            <w:tcW w:w="1797" w:type="dxa"/>
            <w:gridSpan w:val="2"/>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Coefficients Effect</w:t>
            </w:r>
          </w:p>
        </w:tc>
        <w:tc>
          <w:tcPr>
            <w:tcW w:w="1623" w:type="dxa"/>
            <w:gridSpan w:val="2"/>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Interaction Effect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Female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-0.0018</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Male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0.0016</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Age 25-44</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-0.0064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Age 45-54</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Age 55-64</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0.0019</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0.0009</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White non-Hispanic</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-0.0015</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-0.0042</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Black Non-Hispanic</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Asian Non-Hispanic</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Hispanic</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Citizen</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-0.0067</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Less than HS education</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HS or some college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0.0009</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Associates’ degree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Bachelors’ degree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-0.0016</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Masters, professional degree or doctorate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Professional and technical</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Farmers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Managers, officials, proprietors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Clerical and kindred</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Sales workers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Craftsmen</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0.0018</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Operatives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0.0023</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Service workers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Farm laborers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Laborers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Agriculture, forestry and Fishing</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Mining</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Utilities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Construction</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Manufacturing</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-0.0018</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Wholesale trade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Retail trade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Transportation and warehousing</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Information</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Finance, Insurance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Real Estate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Professional services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-0.0016</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Management, administration and waste management</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Education</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Health care and social assistance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Arts and entertainment</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Accommodation and food</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Other services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Public administration</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1-24 workers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-0.0083</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0.0094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0.0017</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25-99 workers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100-499 workers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500-999 workers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1000+ workers</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-0.0066</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Part-time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Full-time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Number of Weeks Unemployed</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-0.0045</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Non Metro Area</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Metro Area</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-0.0064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Self employed</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-0.0019</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Wage and salary worker</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0.0077</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Government worker</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Married</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-0.0016</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 xml:space="preserve">Separated, </w:t>
            </w:r>
            <w:r w:rsidR="00F13786" w:rsidRPr="00BF790C">
              <w:rPr>
                <w:rFonts w:ascii="Times New Roman" w:eastAsia="Times New Roman" w:hAnsi="Times New Roman" w:cs="Times New Roman"/>
                <w:sz w:val="24"/>
                <w:szCs w:val="24"/>
                <w:lang w:bidi="ar-SA"/>
              </w:rPr>
              <w:t>divorced</w:t>
            </w:r>
            <w:r w:rsidRPr="00BF790C">
              <w:rPr>
                <w:rFonts w:ascii="Times New Roman" w:eastAsia="Times New Roman" w:hAnsi="Times New Roman" w:cs="Times New Roman"/>
                <w:sz w:val="24"/>
                <w:szCs w:val="24"/>
                <w:lang w:bidi="ar-SA"/>
              </w:rPr>
              <w:t xml:space="preserve"> or widowed</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Never married</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Gini</w:t>
            </w:r>
            <w:proofErr w:type="spellEnd"/>
            <w:r w:rsidRPr="00BF790C">
              <w:rPr>
                <w:rFonts w:ascii="Times New Roman" w:eastAsia="Times New Roman" w:hAnsi="Times New Roman" w:cs="Times New Roman"/>
                <w:sz w:val="24"/>
                <w:szCs w:val="24"/>
                <w:lang w:bidi="ar-SA"/>
              </w:rPr>
              <w:t xml:space="preserve"> index for the state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-0.0085</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-0.0800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-0.0029</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The share of workers age 25-64 with two years of college education or more in the state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0.0061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-0.0205</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-0.0036</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The percentage of employees working in small firms (99 employees or less) in the state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-0.0028</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0.0441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The percent of the population age 25-64 who is under 40 years of age in the state</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0.0174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0.1852</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-0.0223</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 xml:space="preserve">Unemployment rate for age group 25-44 </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-0.0401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0.0313</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0.0456</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Unemployment rate for age group 45-54</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0.0481</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-0.0474</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-0.0916</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Unemployment rate for age group 55-64</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0.0094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0.0111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0.0150</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 xml:space="preserve">Trend in Unemployment rate for age group 25-44 </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0.0108</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-0.0225</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Trend in Unemployment rate for age group 45-54</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-0.0016</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0.0095</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Trend in Unemployment rate for age group 55-64</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0.0022</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-0.0054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Unionization</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-0.0029</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0.0116</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-0.0019</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Intercept</w:t>
            </w:r>
          </w:p>
        </w:tc>
        <w:tc>
          <w:tcPr>
            <w:tcW w:w="1183"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-0.1562</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1083"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E1312D" w:rsidRPr="00BF790C" w:rsidTr="00BE1A6B">
        <w:trPr>
          <w:trHeight w:hRule="exact" w:val="288"/>
        </w:trPr>
        <w:tc>
          <w:tcPr>
            <w:tcW w:w="2877" w:type="dxa"/>
            <w:shd w:val="clear" w:color="auto" w:fill="auto"/>
            <w:vAlign w:val="bottom"/>
            <w:hideMark/>
          </w:tcPr>
          <w:p w:rsidR="00E1312D" w:rsidRPr="00BF790C" w:rsidRDefault="00E1312D"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Total Effect</w:t>
            </w:r>
          </w:p>
        </w:tc>
        <w:tc>
          <w:tcPr>
            <w:tcW w:w="11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0.0224</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1260"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-0.0270</w:t>
            </w:r>
          </w:p>
        </w:tc>
        <w:tc>
          <w:tcPr>
            <w:tcW w:w="537"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1083" w:type="dxa"/>
            <w:shd w:val="clear" w:color="auto" w:fill="auto"/>
            <w:noWrap/>
            <w:vAlign w:val="bottom"/>
            <w:hideMark/>
          </w:tcPr>
          <w:p w:rsidR="00E1312D" w:rsidRPr="00BF790C" w:rsidRDefault="00E1312D"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-0.0757</w:t>
            </w:r>
          </w:p>
        </w:tc>
        <w:tc>
          <w:tcPr>
            <w:tcW w:w="540" w:type="dxa"/>
            <w:shd w:val="clear" w:color="auto" w:fill="auto"/>
            <w:noWrap/>
            <w:vAlign w:val="bottom"/>
            <w:hideMark/>
          </w:tcPr>
          <w:p w:rsidR="00E1312D" w:rsidRPr="00BF790C" w:rsidRDefault="00E1312D"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235FC4" w:rsidRPr="00BF790C" w:rsidTr="00A65AA2">
        <w:trPr>
          <w:trHeight w:hRule="exact" w:val="1167"/>
        </w:trPr>
        <w:tc>
          <w:tcPr>
            <w:tcW w:w="8020" w:type="dxa"/>
            <w:gridSpan w:val="7"/>
            <w:shd w:val="clear" w:color="auto" w:fill="auto"/>
            <w:vAlign w:val="bottom"/>
            <w:hideMark/>
          </w:tcPr>
          <w:p w:rsidR="00235FC4" w:rsidRPr="00BF790C" w:rsidRDefault="00235FC4" w:rsidP="001F00BE">
            <w:pPr>
              <w:spacing w:line="240" w:lineRule="auto"/>
              <w:rPr>
                <w:rFonts w:ascii="Times New Roman" w:hAnsi="Times New Roman" w:cs="Times New Roman"/>
                <w:sz w:val="24"/>
                <w:szCs w:val="24"/>
                <w:lang w:bidi="ar-SA"/>
              </w:rPr>
            </w:pPr>
            <w:r w:rsidRPr="00BF790C">
              <w:rPr>
                <w:rFonts w:ascii="Times New Roman" w:eastAsia="Times New Roman" w:hAnsi="Times New Roman" w:cs="Times New Roman"/>
                <w:i/>
                <w:iCs/>
                <w:color w:val="000000"/>
                <w:sz w:val="24"/>
                <w:szCs w:val="24"/>
                <w:lang w:bidi="ar-SA"/>
              </w:rPr>
              <w:t>Data:</w:t>
            </w:r>
            <w:r w:rsidRPr="00BF790C">
              <w:rPr>
                <w:rFonts w:ascii="Times New Roman" w:eastAsia="Times New Roman" w:hAnsi="Times New Roman" w:cs="Times New Roman"/>
                <w:color w:val="000000"/>
                <w:sz w:val="24"/>
                <w:szCs w:val="24"/>
                <w:lang w:bidi="ar-SA"/>
              </w:rPr>
              <w:t xml:space="preserve"> Current Population Survey, March Supplement, 2000-2002 and 2010-2012. </w:t>
            </w:r>
            <w:r w:rsidRPr="00BF790C">
              <w:rPr>
                <w:rFonts w:ascii="Times New Roman" w:eastAsia="Times New Roman" w:hAnsi="Times New Roman" w:cs="Times New Roman"/>
                <w:i/>
                <w:iCs/>
                <w:color w:val="000000"/>
                <w:sz w:val="24"/>
                <w:szCs w:val="24"/>
                <w:lang w:bidi="ar-SA"/>
              </w:rPr>
              <w:t>Notes</w:t>
            </w:r>
            <w:proofErr w:type="gramStart"/>
            <w:r w:rsidRPr="00BF790C">
              <w:rPr>
                <w:rFonts w:ascii="Times New Roman" w:eastAsia="Times New Roman" w:hAnsi="Times New Roman" w:cs="Times New Roman"/>
                <w:iCs/>
                <w:color w:val="000000"/>
                <w:sz w:val="24"/>
                <w:szCs w:val="24"/>
                <w:lang w:bidi="ar-SA"/>
              </w:rPr>
              <w:t>:*</w:t>
            </w:r>
            <w:proofErr w:type="gramEnd"/>
            <w:r w:rsidRPr="00BF790C">
              <w:rPr>
                <w:rFonts w:ascii="Times New Roman" w:eastAsia="Times New Roman" w:hAnsi="Times New Roman" w:cs="Times New Roman"/>
                <w:iCs/>
                <w:color w:val="000000"/>
                <w:sz w:val="24"/>
                <w:szCs w:val="24"/>
                <w:lang w:bidi="ar-SA"/>
              </w:rPr>
              <w:t>** denotes significance at the 1% level or better, ** denotes significance at the 5% level or better, and * denotes significance at the 10% level or better</w:t>
            </w:r>
            <w:r w:rsidRPr="00BF790C">
              <w:rPr>
                <w:rFonts w:ascii="Times New Roman" w:eastAsia="Times New Roman" w:hAnsi="Times New Roman" w:cs="Times New Roman"/>
                <w:i/>
                <w:iCs/>
                <w:color w:val="000000"/>
                <w:sz w:val="24"/>
                <w:szCs w:val="24"/>
                <w:lang w:bidi="ar-SA"/>
              </w:rPr>
              <w:t>.</w:t>
            </w:r>
          </w:p>
        </w:tc>
      </w:tr>
    </w:tbl>
    <w:p w:rsidR="00E1312D" w:rsidRPr="00BF790C" w:rsidRDefault="00E1312D" w:rsidP="001F00BE">
      <w:pPr>
        <w:spacing w:line="240" w:lineRule="auto"/>
        <w:rPr>
          <w:rFonts w:ascii="Times New Roman" w:hAnsi="Times New Roman" w:cs="Times New Roman"/>
          <w:sz w:val="24"/>
          <w:szCs w:val="24"/>
        </w:rPr>
      </w:pPr>
    </w:p>
    <w:tbl>
      <w:tblPr>
        <w:tblW w:w="787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018"/>
        <w:gridCol w:w="1108"/>
        <w:gridCol w:w="1457"/>
        <w:gridCol w:w="1336"/>
        <w:gridCol w:w="1363"/>
      </w:tblGrid>
      <w:tr w:rsidR="009E4396" w:rsidRPr="00BF790C" w:rsidTr="00BE1A6B">
        <w:trPr>
          <w:trHeight w:hRule="exact" w:val="288"/>
        </w:trPr>
        <w:tc>
          <w:tcPr>
            <w:tcW w:w="3018"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Table 4b. Decomposition results for 2001-2003, 2010-2012</w:t>
            </w:r>
          </w:p>
        </w:tc>
        <w:tc>
          <w:tcPr>
            <w:tcW w:w="1108" w:type="dxa"/>
            <w:shd w:val="clear" w:color="auto" w:fill="auto"/>
            <w:noWrap/>
            <w:hideMark/>
          </w:tcPr>
          <w:p w:rsidR="009E4396" w:rsidRPr="00BF790C" w:rsidRDefault="009E4396" w:rsidP="001F00BE">
            <w:pPr>
              <w:spacing w:line="240" w:lineRule="auto"/>
              <w:jc w:val="center"/>
              <w:rPr>
                <w:rFonts w:ascii="Times New Roman" w:hAnsi="Times New Roman" w:cs="Times New Roman"/>
                <w:color w:val="000000"/>
                <w:sz w:val="24"/>
                <w:szCs w:val="24"/>
              </w:rPr>
            </w:pPr>
            <w:r w:rsidRPr="00BF790C">
              <w:rPr>
                <w:rFonts w:ascii="Times New Roman" w:hAnsi="Times New Roman" w:cs="Times New Roman"/>
                <w:b/>
                <w:bCs/>
                <w:color w:val="000000"/>
                <w:sz w:val="24"/>
                <w:szCs w:val="24"/>
              </w:rPr>
              <w:t>Total change</w:t>
            </w:r>
          </w:p>
        </w:tc>
        <w:tc>
          <w:tcPr>
            <w:tcW w:w="1329" w:type="dxa"/>
            <w:shd w:val="clear" w:color="auto" w:fill="auto"/>
            <w:noWrap/>
            <w:hideMark/>
          </w:tcPr>
          <w:p w:rsidR="009E4396" w:rsidRPr="00BF790C" w:rsidRDefault="009E4396" w:rsidP="001F00BE">
            <w:pPr>
              <w:spacing w:line="240" w:lineRule="auto"/>
              <w:jc w:val="center"/>
              <w:rPr>
                <w:rFonts w:ascii="Times New Roman" w:hAnsi="Times New Roman" w:cs="Times New Roman"/>
                <w:color w:val="000000"/>
                <w:sz w:val="24"/>
                <w:szCs w:val="24"/>
              </w:rPr>
            </w:pPr>
            <w:r w:rsidRPr="00BF790C">
              <w:rPr>
                <w:rFonts w:ascii="Times New Roman" w:hAnsi="Times New Roman" w:cs="Times New Roman"/>
                <w:b/>
                <w:bCs/>
                <w:color w:val="000000"/>
                <w:sz w:val="24"/>
                <w:szCs w:val="24"/>
              </w:rPr>
              <w:t>Endowment Effect</w:t>
            </w:r>
          </w:p>
        </w:tc>
        <w:tc>
          <w:tcPr>
            <w:tcW w:w="1243" w:type="dxa"/>
            <w:shd w:val="clear" w:color="auto" w:fill="auto"/>
            <w:noWrap/>
            <w:hideMark/>
          </w:tcPr>
          <w:p w:rsidR="009E4396" w:rsidRPr="00BF790C" w:rsidRDefault="009E4396" w:rsidP="001F00BE">
            <w:pPr>
              <w:spacing w:line="240" w:lineRule="auto"/>
              <w:jc w:val="center"/>
              <w:rPr>
                <w:rFonts w:ascii="Times New Roman" w:hAnsi="Times New Roman" w:cs="Times New Roman"/>
                <w:color w:val="000000"/>
                <w:sz w:val="24"/>
                <w:szCs w:val="24"/>
              </w:rPr>
            </w:pPr>
            <w:r w:rsidRPr="00BF790C">
              <w:rPr>
                <w:rFonts w:ascii="Times New Roman" w:hAnsi="Times New Roman" w:cs="Times New Roman"/>
                <w:b/>
                <w:bCs/>
                <w:color w:val="000000"/>
                <w:sz w:val="24"/>
                <w:szCs w:val="24"/>
              </w:rPr>
              <w:t>Coefficient Effect</w:t>
            </w:r>
          </w:p>
        </w:tc>
        <w:tc>
          <w:tcPr>
            <w:tcW w:w="1172" w:type="dxa"/>
            <w:shd w:val="clear" w:color="auto" w:fill="auto"/>
            <w:noWrap/>
            <w:hideMark/>
          </w:tcPr>
          <w:p w:rsidR="009E4396" w:rsidRPr="00BF790C" w:rsidRDefault="009E4396" w:rsidP="001F00BE">
            <w:pPr>
              <w:spacing w:line="240" w:lineRule="auto"/>
              <w:jc w:val="center"/>
              <w:rPr>
                <w:rFonts w:ascii="Times New Roman" w:hAnsi="Times New Roman" w:cs="Times New Roman"/>
                <w:color w:val="000000"/>
                <w:sz w:val="24"/>
                <w:szCs w:val="24"/>
              </w:rPr>
            </w:pPr>
            <w:r w:rsidRPr="00BF790C">
              <w:rPr>
                <w:rFonts w:ascii="Times New Roman" w:hAnsi="Times New Roman" w:cs="Times New Roman"/>
                <w:b/>
                <w:bCs/>
                <w:color w:val="000000"/>
                <w:sz w:val="24"/>
                <w:szCs w:val="24"/>
              </w:rPr>
              <w:t>Interaction term</w:t>
            </w:r>
          </w:p>
        </w:tc>
      </w:tr>
      <w:tr w:rsidR="009E4396" w:rsidRPr="00BF790C" w:rsidTr="00BE1A6B">
        <w:trPr>
          <w:trHeight w:hRule="exact" w:val="288"/>
        </w:trPr>
        <w:tc>
          <w:tcPr>
            <w:tcW w:w="3018" w:type="dxa"/>
            <w:shd w:val="clear" w:color="auto" w:fill="auto"/>
            <w:noWrap/>
            <w:hideMark/>
          </w:tcPr>
          <w:p w:rsidR="009E4396" w:rsidRPr="00BF790C" w:rsidRDefault="009E4396" w:rsidP="001F00BE">
            <w:pPr>
              <w:spacing w:line="240" w:lineRule="auto"/>
              <w:rPr>
                <w:rFonts w:ascii="Times New Roman" w:hAnsi="Times New Roman" w:cs="Times New Roman"/>
                <w:color w:val="000000"/>
                <w:sz w:val="24"/>
                <w:szCs w:val="24"/>
              </w:rPr>
            </w:pPr>
            <w:r w:rsidRPr="00BF790C">
              <w:rPr>
                <w:rFonts w:ascii="Times New Roman" w:hAnsi="Times New Roman" w:cs="Times New Roman"/>
                <w:color w:val="000000"/>
                <w:sz w:val="24"/>
                <w:szCs w:val="24"/>
              </w:rPr>
              <w:t>Total Predicted Change</w:t>
            </w:r>
          </w:p>
        </w:tc>
        <w:tc>
          <w:tcPr>
            <w:tcW w:w="1108"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-0.07</w:t>
            </w:r>
          </w:p>
        </w:tc>
        <w:tc>
          <w:tcPr>
            <w:tcW w:w="1329"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0.03</w:t>
            </w:r>
          </w:p>
        </w:tc>
        <w:tc>
          <w:tcPr>
            <w:tcW w:w="1243"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-0.03</w:t>
            </w:r>
          </w:p>
        </w:tc>
        <w:tc>
          <w:tcPr>
            <w:tcW w:w="1172"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-0.08</w:t>
            </w:r>
          </w:p>
        </w:tc>
      </w:tr>
      <w:tr w:rsidR="009E4396" w:rsidRPr="00BF790C" w:rsidTr="00BE1A6B">
        <w:trPr>
          <w:trHeight w:hRule="exact" w:val="288"/>
        </w:trPr>
        <w:tc>
          <w:tcPr>
            <w:tcW w:w="3018" w:type="dxa"/>
            <w:shd w:val="clear" w:color="auto" w:fill="auto"/>
            <w:noWrap/>
            <w:hideMark/>
          </w:tcPr>
          <w:p w:rsidR="009E4396" w:rsidRPr="00BF790C" w:rsidRDefault="009E4396" w:rsidP="001F00BE">
            <w:pPr>
              <w:spacing w:line="240" w:lineRule="auto"/>
              <w:rPr>
                <w:rFonts w:ascii="Times New Roman" w:hAnsi="Times New Roman" w:cs="Times New Roman"/>
                <w:color w:val="000000"/>
                <w:sz w:val="24"/>
                <w:szCs w:val="24"/>
              </w:rPr>
            </w:pPr>
            <w:r w:rsidRPr="00BF790C">
              <w:rPr>
                <w:rFonts w:ascii="Times New Roman" w:hAnsi="Times New Roman" w:cs="Times New Roman"/>
                <w:color w:val="000000"/>
                <w:sz w:val="24"/>
                <w:szCs w:val="24"/>
              </w:rPr>
              <w:t>State level variables</w:t>
            </w:r>
          </w:p>
        </w:tc>
        <w:tc>
          <w:tcPr>
            <w:tcW w:w="1108"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w:t>
            </w:r>
          </w:p>
        </w:tc>
        <w:tc>
          <w:tcPr>
            <w:tcW w:w="1329"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0.05</w:t>
            </w:r>
          </w:p>
        </w:tc>
        <w:tc>
          <w:tcPr>
            <w:tcW w:w="1243"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0.07</w:t>
            </w:r>
          </w:p>
        </w:tc>
        <w:tc>
          <w:tcPr>
            <w:tcW w:w="1172"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-0.08</w:t>
            </w:r>
          </w:p>
        </w:tc>
      </w:tr>
      <w:tr w:rsidR="009E4396" w:rsidRPr="00BF790C" w:rsidTr="00BE1A6B">
        <w:trPr>
          <w:trHeight w:hRule="exact" w:val="288"/>
        </w:trPr>
        <w:tc>
          <w:tcPr>
            <w:tcW w:w="3018" w:type="dxa"/>
            <w:shd w:val="clear" w:color="auto" w:fill="auto"/>
            <w:noWrap/>
            <w:hideMark/>
          </w:tcPr>
          <w:p w:rsidR="009E4396" w:rsidRPr="00BF790C" w:rsidRDefault="009E4396" w:rsidP="001F00BE">
            <w:pPr>
              <w:spacing w:line="240" w:lineRule="auto"/>
              <w:rPr>
                <w:rFonts w:ascii="Times New Roman" w:hAnsi="Times New Roman" w:cs="Times New Roman"/>
                <w:color w:val="000000"/>
                <w:sz w:val="24"/>
                <w:szCs w:val="24"/>
              </w:rPr>
            </w:pPr>
            <w:r w:rsidRPr="00BF790C">
              <w:rPr>
                <w:rFonts w:ascii="Times New Roman" w:hAnsi="Times New Roman" w:cs="Times New Roman"/>
                <w:color w:val="000000"/>
                <w:sz w:val="24"/>
                <w:szCs w:val="24"/>
              </w:rPr>
              <w:t>Individual and firm level variables</w:t>
            </w:r>
          </w:p>
        </w:tc>
        <w:tc>
          <w:tcPr>
            <w:tcW w:w="1108"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w:t>
            </w:r>
          </w:p>
        </w:tc>
        <w:tc>
          <w:tcPr>
            <w:tcW w:w="1329"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w:t>
            </w:r>
          </w:p>
        </w:tc>
        <w:tc>
          <w:tcPr>
            <w:tcW w:w="1243"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w:t>
            </w:r>
          </w:p>
        </w:tc>
        <w:tc>
          <w:tcPr>
            <w:tcW w:w="1172"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w:t>
            </w:r>
          </w:p>
        </w:tc>
      </w:tr>
      <w:tr w:rsidR="009E4396" w:rsidRPr="00BF790C" w:rsidTr="00BE1A6B">
        <w:trPr>
          <w:trHeight w:hRule="exact" w:val="288"/>
        </w:trPr>
        <w:tc>
          <w:tcPr>
            <w:tcW w:w="3018" w:type="dxa"/>
            <w:shd w:val="clear" w:color="auto" w:fill="auto"/>
            <w:noWrap/>
            <w:hideMark/>
          </w:tcPr>
          <w:p w:rsidR="009E4396" w:rsidRPr="00BF790C" w:rsidRDefault="009E4396" w:rsidP="001F00BE">
            <w:pPr>
              <w:spacing w:line="240" w:lineRule="auto"/>
              <w:rPr>
                <w:rFonts w:ascii="Times New Roman" w:hAnsi="Times New Roman" w:cs="Times New Roman"/>
                <w:color w:val="000000"/>
                <w:sz w:val="24"/>
                <w:szCs w:val="24"/>
              </w:rPr>
            </w:pPr>
            <w:r w:rsidRPr="00BF790C">
              <w:rPr>
                <w:rFonts w:ascii="Times New Roman" w:hAnsi="Times New Roman" w:cs="Times New Roman"/>
                <w:color w:val="000000"/>
                <w:sz w:val="24"/>
                <w:szCs w:val="24"/>
              </w:rPr>
              <w:t>Intercept Term</w:t>
            </w:r>
          </w:p>
        </w:tc>
        <w:tc>
          <w:tcPr>
            <w:tcW w:w="1108"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-0.09</w:t>
            </w:r>
          </w:p>
        </w:tc>
        <w:tc>
          <w:tcPr>
            <w:tcW w:w="1329"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w:t>
            </w:r>
          </w:p>
        </w:tc>
        <w:tc>
          <w:tcPr>
            <w:tcW w:w="1243"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-0.09</w:t>
            </w:r>
          </w:p>
        </w:tc>
        <w:tc>
          <w:tcPr>
            <w:tcW w:w="1172" w:type="dxa"/>
            <w:shd w:val="clear" w:color="auto" w:fill="auto"/>
            <w:noWrap/>
            <w:vAlign w:val="bottom"/>
            <w:hideMark/>
          </w:tcPr>
          <w:p w:rsidR="009E4396" w:rsidRPr="00BF790C" w:rsidRDefault="009E4396"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w:t>
            </w:r>
          </w:p>
        </w:tc>
      </w:tr>
    </w:tbl>
    <w:p w:rsidR="009651C7" w:rsidRPr="00BF790C" w:rsidRDefault="009651C7" w:rsidP="001F00BE">
      <w:pPr>
        <w:spacing w:line="240" w:lineRule="auto"/>
        <w:rPr>
          <w:rFonts w:ascii="Times New Roman" w:hAnsi="Times New Roman" w:cs="Times New Roman"/>
          <w:sz w:val="24"/>
          <w:szCs w:val="24"/>
        </w:rPr>
      </w:pPr>
    </w:p>
    <w:tbl>
      <w:tblPr>
        <w:tblW w:w="8038"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700"/>
        <w:gridCol w:w="1116"/>
        <w:gridCol w:w="576"/>
        <w:gridCol w:w="1116"/>
        <w:gridCol w:w="576"/>
        <w:gridCol w:w="1116"/>
        <w:gridCol w:w="576"/>
      </w:tblGrid>
      <w:tr w:rsidR="009E4396" w:rsidRPr="00BF790C" w:rsidTr="00BE1A6B">
        <w:trPr>
          <w:trHeight w:hRule="exact" w:val="288"/>
        </w:trPr>
        <w:tc>
          <w:tcPr>
            <w:tcW w:w="8038" w:type="dxa"/>
            <w:gridSpan w:val="7"/>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Table 5b. Detailed decomposition results for 2001-2003, 2010-2012 periods</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p>
        </w:tc>
        <w:tc>
          <w:tcPr>
            <w:tcW w:w="1386" w:type="dxa"/>
            <w:gridSpan w:val="2"/>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Endowment Effect</w:t>
            </w:r>
          </w:p>
        </w:tc>
        <w:tc>
          <w:tcPr>
            <w:tcW w:w="1476" w:type="dxa"/>
            <w:gridSpan w:val="2"/>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Coefficient Effect</w:t>
            </w:r>
          </w:p>
        </w:tc>
        <w:tc>
          <w:tcPr>
            <w:tcW w:w="1476" w:type="dxa"/>
            <w:gridSpan w:val="2"/>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Interaction Effect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Female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1.49E-06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Male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0.001216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1.49E-06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Age 25-44</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0.000474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-0.00613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0.000651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Age 45-54</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7.48E-05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-1.8E-05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Age 55-64</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0.00182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0.000698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White non-Hispanic</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-0.00469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0.000229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Black Non-Hispanic</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6.04E-06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0.000851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-1.1E-05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Asian Non-Hispanic</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-9.1E-05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5.86E-05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1.05E-05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Hispanic</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-7.3E-05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Citizen</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0.000865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6.18E-05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Non-Citizen</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-0.00902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6.18E-05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Less than HS education</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2.31E-05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HS or some college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0.000572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0.001794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Associates’ degree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0.000112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0.001043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0.000131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Bachelors’ degree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0.000733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Masters, professional degree or doctorate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0.001072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Professional and technical</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0.001211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0.001698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0.000187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Farmers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2.38E-05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3.29E-05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Managers, officials, proprietors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0.000956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Clerical and kindred</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0.000102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0.001461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3.13E-05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Sales workers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-2.7E-05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7.61E-05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Craftsmen</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0.002285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Operatives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0.000128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0.00199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Service workers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0.000829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0.000104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Farm laborers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5.06E-05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4.45E-05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Laborers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4.75E-06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0.001106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Agriculture, forestry and Fishing</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3.93E-05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-2.1E-05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Mining</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0.000102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-7.8E-05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-2.6E-05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Utilities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5.21E-05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-7.5E-06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Construction</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-1.1E-05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0.000412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3.45E-06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Manufacturing</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-0.00152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0.000273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Wholesale trade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0.000216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Retail trade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-4.6E-05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0.000143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2.42E-06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Transportation and warehousing</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3.94E-06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1.99E-05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Information</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5.24E-05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Finance, Insurance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-6.3E-05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0.000007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Real Estate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-4.5E-05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0.000662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2.04E-05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Professional services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0.00079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-0.00124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-0.00047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Management, administration and waste management</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-2.3E-05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Education</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5.46E-05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0.000919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7.47E-05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Health care and social assistance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0.000377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2.33E-05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3.18E-06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Arts and entertainment</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-4.2E-06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-1.6E-06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Accommodation and food</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-1.3E-05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Other services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-2.8E-05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-5.6E-07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Public administration</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0.000128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0.001139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0.000103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1-24 workers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-0.00798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0.009344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0.001382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25-99 workers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0.001486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0.000607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100-499 workers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-0.00115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8.78E-05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500-999 workers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5.82E-05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Firmsz</w:t>
            </w:r>
            <w:proofErr w:type="spellEnd"/>
            <w:r w:rsidRPr="00BF790C">
              <w:rPr>
                <w:rFonts w:ascii="Times New Roman" w:eastAsia="Times New Roman" w:hAnsi="Times New Roman" w:cs="Times New Roman"/>
                <w:sz w:val="24"/>
                <w:szCs w:val="24"/>
                <w:lang w:bidi="ar-SA"/>
              </w:rPr>
              <w:t xml:space="preserve"> 1000+ workers</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0.001187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-0.00583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Part-time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-0.00126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Full-time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-0.00126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0.002104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-5.9E-05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Number of Weeks Unemployed</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-0.00398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0.000138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0.000114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Non Metro Area</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7.32E-05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0.001181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Metro Area</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7.32E-05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-0.00557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Self employed</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0.000138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-0.00226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2.35E-05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Wage and salary worker</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0.006835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-1.8E-05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Government worker</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0.000323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0.001987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3.83E-05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Married</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-0.00066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-0.00185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8.34E-05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 xml:space="preserve">Separated, </w:t>
            </w:r>
            <w:r w:rsidR="00F13786" w:rsidRPr="00BF790C">
              <w:rPr>
                <w:rFonts w:ascii="Times New Roman" w:eastAsia="Times New Roman" w:hAnsi="Times New Roman" w:cs="Times New Roman"/>
                <w:sz w:val="24"/>
                <w:szCs w:val="24"/>
                <w:lang w:bidi="ar-SA"/>
              </w:rPr>
              <w:t>divorced</w:t>
            </w:r>
            <w:r w:rsidRPr="00BF790C">
              <w:rPr>
                <w:rFonts w:ascii="Times New Roman" w:eastAsia="Times New Roman" w:hAnsi="Times New Roman" w:cs="Times New Roman"/>
                <w:sz w:val="24"/>
                <w:szCs w:val="24"/>
                <w:lang w:bidi="ar-SA"/>
              </w:rPr>
              <w:t xml:space="preserve"> or widowed</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7.21E-06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0.000238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-3E-06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Never married</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-0.00059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0.000252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0.000044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proofErr w:type="spellStart"/>
            <w:r w:rsidRPr="00BF790C">
              <w:rPr>
                <w:rFonts w:ascii="Times New Roman" w:eastAsia="Times New Roman" w:hAnsi="Times New Roman" w:cs="Times New Roman"/>
                <w:sz w:val="24"/>
                <w:szCs w:val="24"/>
                <w:lang w:bidi="ar-SA"/>
              </w:rPr>
              <w:t>Gini</w:t>
            </w:r>
            <w:proofErr w:type="spellEnd"/>
            <w:r w:rsidRPr="00BF790C">
              <w:rPr>
                <w:rFonts w:ascii="Times New Roman" w:eastAsia="Times New Roman" w:hAnsi="Times New Roman" w:cs="Times New Roman"/>
                <w:sz w:val="24"/>
                <w:szCs w:val="24"/>
                <w:lang w:bidi="ar-SA"/>
              </w:rPr>
              <w:t xml:space="preserve"> index for the state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-0.00705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-0.11309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-0.00325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The share of workers age 25-64 with two years of college education or more in the state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0.006329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-0.02605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-0.00367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The percentage of employees working in small firms (99 employees or less) in the state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-0.00147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-0.01255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-0.00028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The percent of the population age 25-64 who is under 40 years of age in the state</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0.018355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0.220771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-0.02132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 xml:space="preserve">Unemployment rate for age group 25-44 </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-0.03838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0.037302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0.040005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Unemployment rate for age group 45-54</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0.070629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-0.07815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-0.10788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Unemployment rate for age group 55-64</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-0.00103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0.023122</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0.025735</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 xml:space="preserve">Trend in Unemployment rate for age group 25-44 </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0.004048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-0.00736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-0.00928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Trend in Unemployment rate for age group 45-54</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-0.00474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0.007248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0.009264</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Trend in Unemployment rate for age group 55-64</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0.003936</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-0.00169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-0.00657</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sz w:val="24"/>
                <w:szCs w:val="24"/>
                <w:lang w:bidi="ar-SA"/>
              </w:rPr>
            </w:pPr>
            <w:r w:rsidRPr="00BF790C">
              <w:rPr>
                <w:rFonts w:ascii="Times New Roman" w:eastAsia="Times New Roman" w:hAnsi="Times New Roman" w:cs="Times New Roman"/>
                <w:sz w:val="24"/>
                <w:szCs w:val="24"/>
                <w:lang w:bidi="ar-SA"/>
              </w:rPr>
              <w:t>Unionization</w:t>
            </w:r>
          </w:p>
        </w:tc>
        <w:tc>
          <w:tcPr>
            <w:tcW w:w="90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-0.00203</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0.018919</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-0.0028</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9E4396" w:rsidRPr="00BF790C" w:rsidTr="00BE1A6B">
        <w:trPr>
          <w:trHeight w:hRule="exact" w:val="288"/>
        </w:trPr>
        <w:tc>
          <w:tcPr>
            <w:tcW w:w="37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Intercept</w:t>
            </w:r>
          </w:p>
        </w:tc>
        <w:tc>
          <w:tcPr>
            <w:tcW w:w="90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p>
        </w:tc>
        <w:tc>
          <w:tcPr>
            <w:tcW w:w="990" w:type="dxa"/>
            <w:shd w:val="clear" w:color="auto" w:fill="auto"/>
            <w:noWrap/>
            <w:vAlign w:val="bottom"/>
            <w:hideMark/>
          </w:tcPr>
          <w:p w:rsidR="009E4396" w:rsidRPr="00BF790C" w:rsidRDefault="009E4396"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-0.08991</w:t>
            </w: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c>
          <w:tcPr>
            <w:tcW w:w="990"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p>
        </w:tc>
        <w:tc>
          <w:tcPr>
            <w:tcW w:w="486" w:type="dxa"/>
            <w:shd w:val="clear" w:color="auto" w:fill="auto"/>
            <w:noWrap/>
            <w:vAlign w:val="bottom"/>
            <w:hideMark/>
          </w:tcPr>
          <w:p w:rsidR="009E4396" w:rsidRPr="00BF790C" w:rsidRDefault="009E4396" w:rsidP="001F00BE">
            <w:pPr>
              <w:spacing w:after="0" w:line="240" w:lineRule="auto"/>
              <w:rPr>
                <w:rFonts w:ascii="Times New Roman" w:eastAsia="Times New Roman" w:hAnsi="Times New Roman" w:cs="Times New Roman"/>
                <w:color w:val="000000"/>
                <w:sz w:val="24"/>
                <w:szCs w:val="24"/>
                <w:lang w:bidi="ar-SA"/>
              </w:rPr>
            </w:pPr>
          </w:p>
        </w:tc>
      </w:tr>
      <w:tr w:rsidR="00235FC4" w:rsidRPr="00BF790C" w:rsidTr="00A65AA2">
        <w:trPr>
          <w:trHeight w:hRule="exact" w:val="875"/>
        </w:trPr>
        <w:tc>
          <w:tcPr>
            <w:tcW w:w="8038" w:type="dxa"/>
            <w:gridSpan w:val="7"/>
            <w:shd w:val="clear" w:color="auto" w:fill="auto"/>
            <w:noWrap/>
            <w:vAlign w:val="bottom"/>
            <w:hideMark/>
          </w:tcPr>
          <w:p w:rsidR="00235FC4" w:rsidRPr="00BF790C" w:rsidRDefault="00235FC4" w:rsidP="001F00BE">
            <w:pPr>
              <w:spacing w:line="240" w:lineRule="auto"/>
              <w:rPr>
                <w:rFonts w:ascii="Times New Roman" w:hAnsi="Times New Roman" w:cs="Times New Roman"/>
                <w:sz w:val="24"/>
                <w:szCs w:val="24"/>
                <w:lang w:bidi="ar-SA"/>
              </w:rPr>
            </w:pPr>
            <w:r w:rsidRPr="00BF790C">
              <w:rPr>
                <w:rFonts w:ascii="Times New Roman" w:eastAsia="Times New Roman" w:hAnsi="Times New Roman" w:cs="Times New Roman"/>
                <w:i/>
                <w:iCs/>
                <w:color w:val="000000"/>
                <w:sz w:val="24"/>
                <w:szCs w:val="24"/>
                <w:lang w:bidi="ar-SA"/>
              </w:rPr>
              <w:t>Data:</w:t>
            </w:r>
            <w:r w:rsidRPr="00BF790C">
              <w:rPr>
                <w:rFonts w:ascii="Times New Roman" w:eastAsia="Times New Roman" w:hAnsi="Times New Roman" w:cs="Times New Roman"/>
                <w:color w:val="000000"/>
                <w:sz w:val="24"/>
                <w:szCs w:val="24"/>
                <w:lang w:bidi="ar-SA"/>
              </w:rPr>
              <w:t xml:space="preserve"> Current Population Survey, March Supplement, 2001-2003 and 2010-2012. </w:t>
            </w:r>
            <w:r w:rsidRPr="00BF790C">
              <w:rPr>
                <w:rFonts w:ascii="Times New Roman" w:eastAsia="Times New Roman" w:hAnsi="Times New Roman" w:cs="Times New Roman"/>
                <w:i/>
                <w:iCs/>
                <w:color w:val="000000"/>
                <w:sz w:val="24"/>
                <w:szCs w:val="24"/>
                <w:lang w:bidi="ar-SA"/>
              </w:rPr>
              <w:t>Notes</w:t>
            </w:r>
            <w:proofErr w:type="gramStart"/>
            <w:r w:rsidRPr="00BF790C">
              <w:rPr>
                <w:rFonts w:ascii="Times New Roman" w:eastAsia="Times New Roman" w:hAnsi="Times New Roman" w:cs="Times New Roman"/>
                <w:iCs/>
                <w:color w:val="000000"/>
                <w:sz w:val="24"/>
                <w:szCs w:val="24"/>
                <w:lang w:bidi="ar-SA"/>
              </w:rPr>
              <w:t>:*</w:t>
            </w:r>
            <w:proofErr w:type="gramEnd"/>
            <w:r w:rsidRPr="00BF790C">
              <w:rPr>
                <w:rFonts w:ascii="Times New Roman" w:eastAsia="Times New Roman" w:hAnsi="Times New Roman" w:cs="Times New Roman"/>
                <w:iCs/>
                <w:color w:val="000000"/>
                <w:sz w:val="24"/>
                <w:szCs w:val="24"/>
                <w:lang w:bidi="ar-SA"/>
              </w:rPr>
              <w:t>** denotes significance at the 1% level or better, ** denotes significance at the 5% level or better, and * denotes significance at the 10% level or better</w:t>
            </w:r>
            <w:r w:rsidRPr="00BF790C">
              <w:rPr>
                <w:rFonts w:ascii="Times New Roman" w:eastAsia="Times New Roman" w:hAnsi="Times New Roman" w:cs="Times New Roman"/>
                <w:i/>
                <w:iCs/>
                <w:color w:val="000000"/>
                <w:sz w:val="24"/>
                <w:szCs w:val="24"/>
                <w:lang w:bidi="ar-SA"/>
              </w:rPr>
              <w:t>.</w:t>
            </w:r>
          </w:p>
        </w:tc>
      </w:tr>
    </w:tbl>
    <w:p w:rsidR="009E4396" w:rsidRPr="00BF790C" w:rsidRDefault="009E4396" w:rsidP="001F00BE">
      <w:pPr>
        <w:spacing w:line="240" w:lineRule="auto"/>
        <w:rPr>
          <w:rFonts w:ascii="Times New Roman" w:hAnsi="Times New Roman" w:cs="Times New Roman"/>
          <w:sz w:val="24"/>
          <w:szCs w:val="24"/>
        </w:rPr>
      </w:pPr>
    </w:p>
    <w:tbl>
      <w:tblPr>
        <w:tblW w:w="86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900"/>
        <w:gridCol w:w="810"/>
        <w:gridCol w:w="720"/>
        <w:gridCol w:w="810"/>
        <w:gridCol w:w="720"/>
        <w:gridCol w:w="720"/>
      </w:tblGrid>
      <w:tr w:rsidR="00DD41AA" w:rsidRPr="00BF790C" w:rsidTr="00BE1A6B">
        <w:trPr>
          <w:trHeight w:hRule="exact" w:val="288"/>
        </w:trPr>
        <w:tc>
          <w:tcPr>
            <w:tcW w:w="8650" w:type="dxa"/>
            <w:gridSpan w:val="7"/>
            <w:shd w:val="clear" w:color="auto" w:fill="auto"/>
            <w:noWrap/>
            <w:vAlign w:val="bottom"/>
            <w:hideMark/>
          </w:tcPr>
          <w:p w:rsidR="00DD41AA" w:rsidRPr="00BF790C" w:rsidRDefault="00F24129"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bCs/>
                <w:color w:val="000000"/>
                <w:sz w:val="24"/>
                <w:szCs w:val="24"/>
                <w:lang w:bidi="ar-SA"/>
              </w:rPr>
              <w:t>Table 6</w:t>
            </w:r>
            <w:r w:rsidR="00DD41AA" w:rsidRPr="00BF790C">
              <w:rPr>
                <w:rFonts w:ascii="Times New Roman" w:eastAsia="Times New Roman" w:hAnsi="Times New Roman" w:cs="Times New Roman"/>
                <w:bCs/>
                <w:color w:val="000000"/>
                <w:sz w:val="24"/>
                <w:szCs w:val="24"/>
                <w:lang w:bidi="ar-SA"/>
              </w:rPr>
              <w:t>. Second step calculation of cluster robust standard errors</w:t>
            </w:r>
          </w:p>
        </w:tc>
      </w:tr>
      <w:tr w:rsidR="00DD41AA" w:rsidRPr="00BF790C" w:rsidTr="00BE1A6B">
        <w:trPr>
          <w:trHeight w:hRule="exact" w:val="288"/>
        </w:trPr>
        <w:tc>
          <w:tcPr>
            <w:tcW w:w="397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p>
        </w:tc>
        <w:tc>
          <w:tcPr>
            <w:tcW w:w="2430" w:type="dxa"/>
            <w:gridSpan w:val="3"/>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2000-2002</w:t>
            </w:r>
          </w:p>
        </w:tc>
        <w:tc>
          <w:tcPr>
            <w:tcW w:w="2250" w:type="dxa"/>
            <w:gridSpan w:val="3"/>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2010-2012</w:t>
            </w:r>
          </w:p>
        </w:tc>
      </w:tr>
      <w:tr w:rsidR="00DD41AA" w:rsidRPr="00BF790C" w:rsidTr="00BE1A6B">
        <w:trPr>
          <w:trHeight w:hRule="exact" w:val="288"/>
        </w:trPr>
        <w:tc>
          <w:tcPr>
            <w:tcW w:w="397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State Specific Intercept</w:t>
            </w:r>
          </w:p>
        </w:tc>
        <w:tc>
          <w:tcPr>
            <w:tcW w:w="90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Coef</w:t>
            </w:r>
            <w:proofErr w:type="spellEnd"/>
            <w:r w:rsidRPr="00BF790C">
              <w:rPr>
                <w:rFonts w:ascii="Times New Roman" w:eastAsia="Times New Roman" w:hAnsi="Times New Roman" w:cs="Times New Roman"/>
                <w:color w:val="000000"/>
                <w:sz w:val="24"/>
                <w:szCs w:val="24"/>
                <w:lang w:bidi="ar-SA"/>
              </w:rPr>
              <w:t>.</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Std.</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Coef</w:t>
            </w:r>
            <w:proofErr w:type="spellEnd"/>
            <w:r w:rsidRPr="00BF790C">
              <w:rPr>
                <w:rFonts w:ascii="Times New Roman" w:eastAsia="Times New Roman" w:hAnsi="Times New Roman" w:cs="Times New Roman"/>
                <w:color w:val="000000"/>
                <w:sz w:val="24"/>
                <w:szCs w:val="24"/>
                <w:lang w:bidi="ar-SA"/>
              </w:rPr>
              <w:t>.</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Std.</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w:t>
            </w:r>
          </w:p>
        </w:tc>
      </w:tr>
      <w:tr w:rsidR="00DD41AA" w:rsidRPr="00BF790C" w:rsidTr="00BE1A6B">
        <w:trPr>
          <w:trHeight w:hRule="exact" w:val="288"/>
        </w:trPr>
        <w:tc>
          <w:tcPr>
            <w:tcW w:w="397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Gini</w:t>
            </w:r>
            <w:proofErr w:type="spellEnd"/>
          </w:p>
        </w:tc>
        <w:tc>
          <w:tcPr>
            <w:tcW w:w="90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-2.21</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1.34</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0.11</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-3.65</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1.45</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w:t>
            </w:r>
          </w:p>
        </w:tc>
      </w:tr>
      <w:tr w:rsidR="00DD41AA" w:rsidRPr="00BF790C" w:rsidTr="00BE1A6B">
        <w:trPr>
          <w:trHeight w:hRule="exact" w:val="288"/>
        </w:trPr>
        <w:tc>
          <w:tcPr>
            <w:tcW w:w="397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Educated</w:t>
            </w:r>
          </w:p>
        </w:tc>
        <w:tc>
          <w:tcPr>
            <w:tcW w:w="90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0.72</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0.63</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0.27</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1.00</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0.56</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0.08</w:t>
            </w:r>
          </w:p>
        </w:tc>
      </w:tr>
      <w:tr w:rsidR="00DD41AA" w:rsidRPr="00BF790C" w:rsidTr="00BE1A6B">
        <w:trPr>
          <w:trHeight w:hRule="exact" w:val="288"/>
        </w:trPr>
        <w:tc>
          <w:tcPr>
            <w:tcW w:w="397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Small firm</w:t>
            </w:r>
          </w:p>
        </w:tc>
        <w:tc>
          <w:tcPr>
            <w:tcW w:w="90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-0.68</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0.79</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0.40</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-0.85</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0.77</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0.28</w:t>
            </w:r>
          </w:p>
        </w:tc>
      </w:tr>
      <w:tr w:rsidR="00DD41AA" w:rsidRPr="00BF790C" w:rsidTr="00BE1A6B">
        <w:trPr>
          <w:trHeight w:hRule="exact" w:val="288"/>
        </w:trPr>
        <w:tc>
          <w:tcPr>
            <w:tcW w:w="397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Young Pop</w:t>
            </w:r>
          </w:p>
        </w:tc>
        <w:tc>
          <w:tcPr>
            <w:tcW w:w="90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-1.41</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1.23</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0.26</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1.04</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0.97</w:t>
            </w:r>
          </w:p>
        </w:tc>
      </w:tr>
      <w:tr w:rsidR="00A9167E" w:rsidRPr="00BF790C" w:rsidTr="00BE1A6B">
        <w:trPr>
          <w:trHeight w:hRule="exact" w:val="288"/>
        </w:trPr>
        <w:tc>
          <w:tcPr>
            <w:tcW w:w="3970" w:type="dxa"/>
            <w:shd w:val="clear" w:color="auto" w:fill="auto"/>
            <w:noWrap/>
            <w:vAlign w:val="bottom"/>
            <w:hideMark/>
          </w:tcPr>
          <w:p w:rsidR="00A9167E" w:rsidRPr="00BF790C" w:rsidRDefault="00A9167E"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Unemployment rate for 25-44</w:t>
            </w:r>
          </w:p>
        </w:tc>
        <w:tc>
          <w:tcPr>
            <w:tcW w:w="90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-1.17</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5.27</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0.83</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1.70</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2.21</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0.45</w:t>
            </w:r>
          </w:p>
        </w:tc>
      </w:tr>
      <w:tr w:rsidR="00A9167E" w:rsidRPr="00BF790C" w:rsidTr="00BE1A6B">
        <w:trPr>
          <w:trHeight w:hRule="exact" w:val="288"/>
        </w:trPr>
        <w:tc>
          <w:tcPr>
            <w:tcW w:w="3970" w:type="dxa"/>
            <w:shd w:val="clear" w:color="auto" w:fill="auto"/>
            <w:noWrap/>
            <w:vAlign w:val="bottom"/>
            <w:hideMark/>
          </w:tcPr>
          <w:p w:rsidR="00A9167E" w:rsidRPr="00BF790C" w:rsidRDefault="00A9167E"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Unemployment rate for 45-54</w:t>
            </w:r>
          </w:p>
        </w:tc>
        <w:tc>
          <w:tcPr>
            <w:tcW w:w="90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8.83</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4.83</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0.08</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-2.01</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2.59</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0.44</w:t>
            </w:r>
          </w:p>
        </w:tc>
      </w:tr>
      <w:tr w:rsidR="00A9167E" w:rsidRPr="00BF790C" w:rsidTr="00BE1A6B">
        <w:trPr>
          <w:trHeight w:hRule="exact" w:val="288"/>
        </w:trPr>
        <w:tc>
          <w:tcPr>
            <w:tcW w:w="3970" w:type="dxa"/>
            <w:shd w:val="clear" w:color="auto" w:fill="auto"/>
            <w:noWrap/>
            <w:vAlign w:val="bottom"/>
            <w:hideMark/>
          </w:tcPr>
          <w:p w:rsidR="00A9167E" w:rsidRPr="00BF790C" w:rsidRDefault="00A9167E"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Unemployment rate for 55-64</w:t>
            </w:r>
          </w:p>
        </w:tc>
        <w:tc>
          <w:tcPr>
            <w:tcW w:w="90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-1.37</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2.26</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0.55</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1.10</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2.75</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0.69</w:t>
            </w:r>
          </w:p>
        </w:tc>
      </w:tr>
      <w:tr w:rsidR="00A9167E" w:rsidRPr="00BF790C" w:rsidTr="00BE1A6B">
        <w:trPr>
          <w:trHeight w:hRule="exact" w:val="288"/>
        </w:trPr>
        <w:tc>
          <w:tcPr>
            <w:tcW w:w="3970" w:type="dxa"/>
            <w:shd w:val="clear" w:color="auto" w:fill="auto"/>
            <w:noWrap/>
            <w:vAlign w:val="bottom"/>
            <w:hideMark/>
          </w:tcPr>
          <w:p w:rsidR="00A9167E" w:rsidRPr="00BF790C" w:rsidRDefault="00A9167E"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Trends in unemployment for 25-44</w:t>
            </w:r>
          </w:p>
        </w:tc>
        <w:tc>
          <w:tcPr>
            <w:tcW w:w="90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-7.83</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6.42</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0.23</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0.11</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3.94</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0.98</w:t>
            </w:r>
          </w:p>
        </w:tc>
      </w:tr>
      <w:tr w:rsidR="00A9167E" w:rsidRPr="00BF790C" w:rsidTr="00BE1A6B">
        <w:trPr>
          <w:trHeight w:hRule="exact" w:val="288"/>
        </w:trPr>
        <w:tc>
          <w:tcPr>
            <w:tcW w:w="3970" w:type="dxa"/>
            <w:shd w:val="clear" w:color="auto" w:fill="auto"/>
            <w:noWrap/>
            <w:vAlign w:val="bottom"/>
            <w:hideMark/>
          </w:tcPr>
          <w:p w:rsidR="00A9167E" w:rsidRPr="00BF790C" w:rsidRDefault="00A9167E"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Trends in unemployment for 45-54</w:t>
            </w:r>
          </w:p>
        </w:tc>
        <w:tc>
          <w:tcPr>
            <w:tcW w:w="90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-7.32</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5.34</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-3.05</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5.22</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0.56</w:t>
            </w:r>
          </w:p>
        </w:tc>
      </w:tr>
      <w:tr w:rsidR="00A9167E" w:rsidRPr="00BF790C" w:rsidTr="00BE1A6B">
        <w:trPr>
          <w:trHeight w:hRule="exact" w:val="288"/>
        </w:trPr>
        <w:tc>
          <w:tcPr>
            <w:tcW w:w="3970" w:type="dxa"/>
            <w:shd w:val="clear" w:color="auto" w:fill="auto"/>
            <w:noWrap/>
            <w:vAlign w:val="bottom"/>
            <w:hideMark/>
          </w:tcPr>
          <w:p w:rsidR="00A9167E" w:rsidRPr="00BF790C" w:rsidRDefault="00A9167E"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Trends in unemployment for 55-64</w:t>
            </w:r>
          </w:p>
        </w:tc>
        <w:tc>
          <w:tcPr>
            <w:tcW w:w="90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3.54</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3.62</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0.34</w:t>
            </w:r>
          </w:p>
        </w:tc>
        <w:tc>
          <w:tcPr>
            <w:tcW w:w="81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-6.53</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4.04</w:t>
            </w:r>
          </w:p>
        </w:tc>
        <w:tc>
          <w:tcPr>
            <w:tcW w:w="720" w:type="dxa"/>
            <w:shd w:val="clear" w:color="auto" w:fill="auto"/>
            <w:noWrap/>
            <w:vAlign w:val="bottom"/>
            <w:hideMark/>
          </w:tcPr>
          <w:p w:rsidR="00A9167E" w:rsidRPr="00BF790C" w:rsidRDefault="00A9167E"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0.11</w:t>
            </w:r>
          </w:p>
        </w:tc>
      </w:tr>
      <w:tr w:rsidR="00DD41AA" w:rsidRPr="00BF790C" w:rsidTr="00BE1A6B">
        <w:trPr>
          <w:trHeight w:hRule="exact" w:val="288"/>
        </w:trPr>
        <w:tc>
          <w:tcPr>
            <w:tcW w:w="397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Unionization</w:t>
            </w:r>
          </w:p>
        </w:tc>
        <w:tc>
          <w:tcPr>
            <w:tcW w:w="90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-0.14</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0.51</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0.79</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0.66</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0.46</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0.16</w:t>
            </w:r>
          </w:p>
        </w:tc>
      </w:tr>
      <w:tr w:rsidR="00DD41AA" w:rsidRPr="00BF790C" w:rsidTr="00BE1A6B">
        <w:trPr>
          <w:trHeight w:hRule="exact" w:val="288"/>
        </w:trPr>
        <w:tc>
          <w:tcPr>
            <w:tcW w:w="3970" w:type="dxa"/>
            <w:shd w:val="clear" w:color="auto" w:fill="auto"/>
            <w:noWrap/>
            <w:vAlign w:val="bottom"/>
            <w:hideMark/>
          </w:tcPr>
          <w:p w:rsidR="00DD41AA" w:rsidRPr="00BF790C" w:rsidRDefault="00A9167E"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Intercept</w:t>
            </w:r>
          </w:p>
        </w:tc>
        <w:tc>
          <w:tcPr>
            <w:tcW w:w="90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1.63</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0.80</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0.05</w:t>
            </w:r>
          </w:p>
        </w:tc>
        <w:tc>
          <w:tcPr>
            <w:tcW w:w="81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1.50</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0.77</w:t>
            </w:r>
          </w:p>
        </w:tc>
        <w:tc>
          <w:tcPr>
            <w:tcW w:w="720" w:type="dxa"/>
            <w:shd w:val="clear" w:color="auto" w:fill="auto"/>
            <w:noWrap/>
            <w:vAlign w:val="bottom"/>
            <w:hideMark/>
          </w:tcPr>
          <w:p w:rsidR="00DD41AA" w:rsidRPr="00BF790C" w:rsidRDefault="00DD41AA"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0.06</w:t>
            </w:r>
          </w:p>
        </w:tc>
      </w:tr>
      <w:tr w:rsidR="00DD41AA" w:rsidRPr="00BF790C" w:rsidTr="00BE1A6B">
        <w:trPr>
          <w:trHeight w:hRule="exact" w:val="288"/>
        </w:trPr>
        <w:tc>
          <w:tcPr>
            <w:tcW w:w="4870" w:type="dxa"/>
            <w:gridSpan w:val="2"/>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Observations</w:t>
            </w:r>
          </w:p>
        </w:tc>
        <w:tc>
          <w:tcPr>
            <w:tcW w:w="810" w:type="dxa"/>
            <w:shd w:val="clear" w:color="auto" w:fill="auto"/>
            <w:noWrap/>
            <w:vAlign w:val="bottom"/>
            <w:hideMark/>
          </w:tcPr>
          <w:p w:rsidR="00DD41AA" w:rsidRPr="00BF790C" w:rsidRDefault="00DD41AA"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48</w:t>
            </w:r>
          </w:p>
        </w:tc>
        <w:tc>
          <w:tcPr>
            <w:tcW w:w="72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p>
        </w:tc>
        <w:tc>
          <w:tcPr>
            <w:tcW w:w="81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p>
        </w:tc>
        <w:tc>
          <w:tcPr>
            <w:tcW w:w="720" w:type="dxa"/>
            <w:shd w:val="clear" w:color="auto" w:fill="auto"/>
            <w:noWrap/>
            <w:vAlign w:val="bottom"/>
            <w:hideMark/>
          </w:tcPr>
          <w:p w:rsidR="00DD41AA" w:rsidRPr="00BF790C" w:rsidRDefault="00DD41AA"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48</w:t>
            </w:r>
          </w:p>
        </w:tc>
        <w:tc>
          <w:tcPr>
            <w:tcW w:w="72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p>
        </w:tc>
      </w:tr>
      <w:tr w:rsidR="00DD41AA" w:rsidRPr="00BF790C" w:rsidTr="00BE1A6B">
        <w:trPr>
          <w:trHeight w:hRule="exact" w:val="288"/>
        </w:trPr>
        <w:tc>
          <w:tcPr>
            <w:tcW w:w="4870" w:type="dxa"/>
            <w:gridSpan w:val="2"/>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Adjusted R-Squared</w:t>
            </w:r>
          </w:p>
        </w:tc>
        <w:tc>
          <w:tcPr>
            <w:tcW w:w="810" w:type="dxa"/>
            <w:shd w:val="clear" w:color="auto" w:fill="auto"/>
            <w:noWrap/>
            <w:vAlign w:val="bottom"/>
            <w:hideMark/>
          </w:tcPr>
          <w:p w:rsidR="00DD41AA" w:rsidRPr="00BF790C" w:rsidRDefault="00DD41AA"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0.16</w:t>
            </w:r>
          </w:p>
        </w:tc>
        <w:tc>
          <w:tcPr>
            <w:tcW w:w="72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p>
        </w:tc>
        <w:tc>
          <w:tcPr>
            <w:tcW w:w="81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p>
        </w:tc>
        <w:tc>
          <w:tcPr>
            <w:tcW w:w="720" w:type="dxa"/>
            <w:shd w:val="clear" w:color="auto" w:fill="auto"/>
            <w:noWrap/>
            <w:vAlign w:val="bottom"/>
            <w:hideMark/>
          </w:tcPr>
          <w:p w:rsidR="00DD41AA" w:rsidRPr="00BF790C" w:rsidRDefault="00DD41AA"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0.23</w:t>
            </w:r>
          </w:p>
        </w:tc>
        <w:tc>
          <w:tcPr>
            <w:tcW w:w="720" w:type="dxa"/>
            <w:shd w:val="clear" w:color="auto" w:fill="auto"/>
            <w:noWrap/>
            <w:vAlign w:val="bottom"/>
            <w:hideMark/>
          </w:tcPr>
          <w:p w:rsidR="00DD41AA" w:rsidRPr="00BF790C" w:rsidRDefault="00DD41AA" w:rsidP="001F00BE">
            <w:pPr>
              <w:spacing w:after="0" w:line="240" w:lineRule="auto"/>
              <w:rPr>
                <w:rFonts w:ascii="Times New Roman" w:eastAsia="Times New Roman" w:hAnsi="Times New Roman" w:cs="Times New Roman"/>
                <w:color w:val="000000"/>
                <w:sz w:val="24"/>
                <w:szCs w:val="24"/>
                <w:lang w:bidi="ar-SA"/>
              </w:rPr>
            </w:pPr>
          </w:p>
        </w:tc>
      </w:tr>
      <w:tr w:rsidR="00235FC4" w:rsidRPr="00BF790C" w:rsidTr="00BE1A6B">
        <w:trPr>
          <w:trHeight w:hRule="exact" w:val="288"/>
        </w:trPr>
        <w:tc>
          <w:tcPr>
            <w:tcW w:w="8650" w:type="dxa"/>
            <w:gridSpan w:val="7"/>
            <w:shd w:val="clear" w:color="auto" w:fill="auto"/>
            <w:noWrap/>
            <w:vAlign w:val="bottom"/>
            <w:hideMark/>
          </w:tcPr>
          <w:p w:rsidR="00235FC4" w:rsidRPr="00BF790C" w:rsidRDefault="00235FC4" w:rsidP="001F00BE">
            <w:pPr>
              <w:spacing w:line="240" w:lineRule="auto"/>
              <w:rPr>
                <w:rFonts w:ascii="Times New Roman" w:hAnsi="Times New Roman" w:cs="Times New Roman"/>
                <w:sz w:val="24"/>
                <w:szCs w:val="24"/>
                <w:lang w:bidi="ar-SA"/>
              </w:rPr>
            </w:pPr>
            <w:r w:rsidRPr="00BF790C">
              <w:rPr>
                <w:rFonts w:ascii="Times New Roman" w:eastAsia="Times New Roman" w:hAnsi="Times New Roman" w:cs="Times New Roman"/>
                <w:i/>
                <w:iCs/>
                <w:color w:val="000000"/>
                <w:sz w:val="24"/>
                <w:szCs w:val="24"/>
                <w:lang w:bidi="ar-SA"/>
              </w:rPr>
              <w:t>Data:</w:t>
            </w:r>
            <w:r w:rsidRPr="00BF790C">
              <w:rPr>
                <w:rFonts w:ascii="Times New Roman" w:eastAsia="Times New Roman" w:hAnsi="Times New Roman" w:cs="Times New Roman"/>
                <w:color w:val="000000"/>
                <w:sz w:val="24"/>
                <w:szCs w:val="24"/>
                <w:lang w:bidi="ar-SA"/>
              </w:rPr>
              <w:t xml:space="preserve"> Current Population Survey, March Supplement, 2000-2002 and 2010-2012. </w:t>
            </w:r>
          </w:p>
        </w:tc>
      </w:tr>
    </w:tbl>
    <w:p w:rsidR="00DD41AA" w:rsidRPr="00BF790C" w:rsidRDefault="00DD41AA" w:rsidP="001F00BE">
      <w:pPr>
        <w:spacing w:line="240" w:lineRule="auto"/>
        <w:rPr>
          <w:rFonts w:ascii="Times New Roman" w:hAnsi="Times New Roman" w:cs="Times New Roman"/>
          <w:sz w:val="24"/>
          <w:szCs w:val="24"/>
        </w:rPr>
      </w:pPr>
    </w:p>
    <w:tbl>
      <w:tblPr>
        <w:tblW w:w="9380" w:type="dxa"/>
        <w:tblInd w:w="98" w:type="dxa"/>
        <w:tblLook w:val="04A0"/>
      </w:tblPr>
      <w:tblGrid>
        <w:gridCol w:w="6862"/>
        <w:gridCol w:w="1100"/>
        <w:gridCol w:w="944"/>
        <w:gridCol w:w="572"/>
      </w:tblGrid>
      <w:tr w:rsidR="003F4645" w:rsidRPr="00BF790C" w:rsidTr="00BE1A6B">
        <w:trPr>
          <w:trHeight w:hRule="exact" w:val="288"/>
        </w:trPr>
        <w:tc>
          <w:tcPr>
            <w:tcW w:w="93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Table 7. </w:t>
            </w:r>
            <w:proofErr w:type="spellStart"/>
            <w:r w:rsidRPr="00BF790C">
              <w:rPr>
                <w:rFonts w:ascii="Times New Roman" w:eastAsia="Times New Roman" w:hAnsi="Times New Roman" w:cs="Times New Roman"/>
                <w:color w:val="000000"/>
                <w:sz w:val="24"/>
                <w:szCs w:val="24"/>
                <w:lang w:bidi="ar-SA"/>
              </w:rPr>
              <w:t>Probit</w:t>
            </w:r>
            <w:proofErr w:type="spellEnd"/>
            <w:r w:rsidRPr="00BF790C">
              <w:rPr>
                <w:rFonts w:ascii="Times New Roman" w:eastAsia="Times New Roman" w:hAnsi="Times New Roman" w:cs="Times New Roman"/>
                <w:color w:val="000000"/>
                <w:sz w:val="24"/>
                <w:szCs w:val="24"/>
                <w:lang w:bidi="ar-SA"/>
              </w:rPr>
              <w:t xml:space="preserve"> regression results using longitudinal data from the 2008 panel of the SIPP, waves 3 and 11.</w:t>
            </w:r>
          </w:p>
        </w:tc>
      </w:tr>
      <w:tr w:rsidR="003F4645" w:rsidRPr="00BF790C" w:rsidTr="00BE1A6B">
        <w:trPr>
          <w:trHeight w:hRule="exact" w:val="288"/>
        </w:trPr>
        <w:tc>
          <w:tcPr>
            <w:tcW w:w="6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Sponsorship status for those who were sponsored for a retirement account through their employer in April-July 2009, by December 2011-March 2012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proofErr w:type="spellStart"/>
            <w:r w:rsidRPr="00BF790C">
              <w:rPr>
                <w:rFonts w:ascii="Times New Roman" w:eastAsia="Times New Roman" w:hAnsi="Times New Roman" w:cs="Times New Roman"/>
                <w:color w:val="000000"/>
                <w:sz w:val="24"/>
                <w:szCs w:val="24"/>
                <w:lang w:bidi="ar-SA"/>
              </w:rPr>
              <w:t>Coef</w:t>
            </w:r>
            <w:proofErr w:type="spellEnd"/>
            <w:r w:rsidRPr="00BF790C">
              <w:rPr>
                <w:rFonts w:ascii="Times New Roman" w:eastAsia="Times New Roman" w:hAnsi="Times New Roman" w:cs="Times New Roman"/>
                <w:color w:val="000000"/>
                <w:sz w:val="24"/>
                <w:szCs w:val="24"/>
                <w:lang w:bidi="ar-SA"/>
              </w:rPr>
              <w:t>.</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Std. Error</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 change in education (omitted category)</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Changed education</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HS / some college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0.542</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0.435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Trade School / associates degree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0.170</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0.261</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BA</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-0.139</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0.228</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Professional Degree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-0.421</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0.238</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 change in occupation (omitted category)</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Changed occupation</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Management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0.157</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0.131</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Business Operations Specialists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-0.185</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0.230</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Financial Specialists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-0.483</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0.288</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Computer and Mathematical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-0.065</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0.212</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Architecture and Engineering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-0.297</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0.332</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Life, Physical, and Social Science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-0.266</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0.333</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Community and Social Services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0.258</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0.334</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Legal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-0.462</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0.791</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Education, Training, and Library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0.406</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0.246</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Arts, Design, Entertainment, Sports, and Media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-0.436</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0.372</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Healthcare Practitioners and Technical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0.034</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0.264</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Healthcare Support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0.223</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0.364</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Protective Service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-0.547</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0.525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Food Preparation and Serving Related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0.921</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0.298</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Building and Grounds Cleaning and Maintenance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0.640</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0.198</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Personal Care and Service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0.756</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0.227</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Sales and Related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0.401</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0.148</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Office and Administrative Support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0.107</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0.116</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Farming, Fishing, and Forestry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0.522</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0.689</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Construction Trades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0.215</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0.257</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Extraction Workers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0.974</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0.674</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Installation, Maintenance, and Repair Workers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0.344</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0.215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Production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0.300</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0.208</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Transportation and Material Moving Occupations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0.045</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0.120</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 change in industry (omitted)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Changed industry</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Agriculture, Forestry, Fishing, Hunting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(omitted)</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Mining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-0.658</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0.473</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Construction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0.359</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0.332</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Manufacturing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0.311</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0.150</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Wholesale trade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0.422</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Retail </w:t>
            </w:r>
            <w:proofErr w:type="spellStart"/>
            <w:r w:rsidRPr="00BF790C">
              <w:rPr>
                <w:rFonts w:ascii="Times New Roman" w:eastAsia="Times New Roman" w:hAnsi="Times New Roman" w:cs="Times New Roman"/>
                <w:color w:val="000000"/>
                <w:sz w:val="24"/>
                <w:szCs w:val="24"/>
                <w:lang w:bidi="ar-SA"/>
              </w:rPr>
              <w:t>tradee</w:t>
            </w:r>
            <w:proofErr w:type="spellEnd"/>
            <w:r w:rsidRPr="00BF790C">
              <w:rPr>
                <w:rFonts w:ascii="Times New Roman" w:eastAsia="Times New Roman" w:hAnsi="Times New Roman" w:cs="Times New Roman"/>
                <w:color w:val="000000"/>
                <w:sz w:val="24"/>
                <w:szCs w:val="24"/>
                <w:lang w:bidi="ar-S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0.065</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0.175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Transport, Warehousing, Utilities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0.437</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0.183</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Info </w:t>
            </w:r>
            <w:proofErr w:type="spellStart"/>
            <w:r w:rsidRPr="00BF790C">
              <w:rPr>
                <w:rFonts w:ascii="Times New Roman" w:eastAsia="Times New Roman" w:hAnsi="Times New Roman" w:cs="Times New Roman"/>
                <w:color w:val="000000"/>
                <w:sz w:val="24"/>
                <w:szCs w:val="24"/>
                <w:lang w:bidi="ar-SA"/>
              </w:rPr>
              <w:t>svcs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0.317</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0.206</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Finance, Insurance, Real Estate, rental </w:t>
            </w:r>
            <w:proofErr w:type="spellStart"/>
            <w:r w:rsidRPr="00BF790C">
              <w:rPr>
                <w:rFonts w:ascii="Times New Roman" w:eastAsia="Times New Roman" w:hAnsi="Times New Roman" w:cs="Times New Roman"/>
                <w:color w:val="000000"/>
                <w:sz w:val="24"/>
                <w:szCs w:val="24"/>
                <w:lang w:bidi="ar-SA"/>
              </w:rPr>
              <w:t>svcs</w:t>
            </w:r>
            <w:proofErr w:type="spellEnd"/>
            <w:r w:rsidRPr="00BF790C">
              <w:rPr>
                <w:rFonts w:ascii="Times New Roman" w:eastAsia="Times New Roman" w:hAnsi="Times New Roman" w:cs="Times New Roman"/>
                <w:color w:val="000000"/>
                <w:sz w:val="24"/>
                <w:szCs w:val="24"/>
                <w:lang w:bidi="ar-S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0.162</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0.192</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professional, scientific, management, administration, waste management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0.502</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0.109</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Education, health care, social assistance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0.011</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0.196</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Arts, Entertainment, recreation, </w:t>
            </w:r>
            <w:proofErr w:type="spellStart"/>
            <w:r w:rsidRPr="00BF790C">
              <w:rPr>
                <w:rFonts w:ascii="Times New Roman" w:eastAsia="Times New Roman" w:hAnsi="Times New Roman" w:cs="Times New Roman"/>
                <w:color w:val="000000"/>
                <w:sz w:val="24"/>
                <w:szCs w:val="24"/>
                <w:lang w:bidi="ar-SA"/>
              </w:rPr>
              <w:t>accomodation</w:t>
            </w:r>
            <w:proofErr w:type="spellEnd"/>
            <w:r w:rsidRPr="00BF790C">
              <w:rPr>
                <w:rFonts w:ascii="Times New Roman" w:eastAsia="Times New Roman" w:hAnsi="Times New Roman" w:cs="Times New Roman"/>
                <w:color w:val="000000"/>
                <w:sz w:val="24"/>
                <w:szCs w:val="24"/>
                <w:lang w:bidi="ar-SA"/>
              </w:rPr>
              <w:t xml:space="preserve">, food </w:t>
            </w:r>
            <w:proofErr w:type="spellStart"/>
            <w:r w:rsidRPr="00BF790C">
              <w:rPr>
                <w:rFonts w:ascii="Times New Roman" w:eastAsia="Times New Roman" w:hAnsi="Times New Roman" w:cs="Times New Roman"/>
                <w:color w:val="000000"/>
                <w:sz w:val="24"/>
                <w:szCs w:val="24"/>
                <w:lang w:bidi="ar-SA"/>
              </w:rPr>
              <w:t>svcs</w:t>
            </w:r>
            <w:proofErr w:type="spellEnd"/>
            <w:r w:rsidRPr="00BF790C">
              <w:rPr>
                <w:rFonts w:ascii="Times New Roman" w:eastAsia="Times New Roman" w:hAnsi="Times New Roman" w:cs="Times New Roman"/>
                <w:color w:val="000000"/>
                <w:sz w:val="24"/>
                <w:szCs w:val="24"/>
                <w:lang w:bidi="ar-S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0.668</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0.254</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other </w:t>
            </w:r>
            <w:proofErr w:type="spellStart"/>
            <w:r w:rsidRPr="00BF790C">
              <w:rPr>
                <w:rFonts w:ascii="Times New Roman" w:eastAsia="Times New Roman" w:hAnsi="Times New Roman" w:cs="Times New Roman"/>
                <w:color w:val="000000"/>
                <w:sz w:val="24"/>
                <w:szCs w:val="24"/>
                <w:lang w:bidi="ar-SA"/>
              </w:rPr>
              <w:t>svcs</w:t>
            </w:r>
            <w:proofErr w:type="spellEnd"/>
            <w:r w:rsidRPr="00BF790C">
              <w:rPr>
                <w:rFonts w:ascii="Times New Roman" w:eastAsia="Times New Roman" w:hAnsi="Times New Roman" w:cs="Times New Roman"/>
                <w:color w:val="000000"/>
                <w:sz w:val="24"/>
                <w:szCs w:val="24"/>
                <w:lang w:bidi="ar-SA"/>
              </w:rPr>
              <w:t xml:space="preserve">, except public admin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0.771</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0.236</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public admin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-0.298</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0.247</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 change in firm size (omitted)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Changed firm size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Firm size increased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0.084</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0.097</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Firm size decreased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0.585</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0.045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 change in classification of worker</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Changed classification</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Private sector employee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0.209</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0.116</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Government employee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-0.109</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0.165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Self Employed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1.420</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0.133</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Number of months spent unemployed since April-July 2009</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0.028</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0.007</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 change in union coverage (omitted)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Changed union coverage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Lost union coverage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-0.116</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0.131</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Gained union coverage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-0.292</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0.139</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 change in part-time status (omitted)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Changed part-time status</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Became full time worker</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0.019</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0.075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Became part time worker</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0.007</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0.062</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No change in marital status (omitted)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Changed marital status</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Married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-0.245</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0.127</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Divorced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-0.331</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0.229</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Widowed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-0.115</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0.129</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Single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0.773</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0.331</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Change in hours</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-0.005</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0.003</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i/>
                <w:iCs/>
                <w:color w:val="000000"/>
                <w:sz w:val="24"/>
                <w:szCs w:val="24"/>
                <w:lang w:bidi="ar-SA"/>
              </w:rPr>
            </w:pPr>
            <w:r w:rsidRPr="00BF790C">
              <w:rPr>
                <w:rFonts w:ascii="Times New Roman" w:eastAsia="Times New Roman" w:hAnsi="Times New Roman" w:cs="Times New Roman"/>
                <w:i/>
                <w:iCs/>
                <w:color w:val="000000"/>
                <w:sz w:val="24"/>
                <w:szCs w:val="24"/>
                <w:lang w:bidi="ar-SA"/>
              </w:rPr>
              <w:t>Changes in State level variables</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Change in state GINI coefficient</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-0.463</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1.925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Change in The share of workers age 25-64 with two years of college education or more in the state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-0.548</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1.630</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Change in The percentage of employees working in small firms (99 employees or less) in the state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-0.551</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1.918</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Change in The percent of the population age 25-64 who is under 40 years of age in the state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-2.926</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1.645</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Change in Unemployment rate for age group 25-44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2.106</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2.806</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Change in Unemployment rate for age group 45-54</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-0.257</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2.370</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Change in Unemployment rate for age group 55-64</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2.898</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2.089</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jc w:val="right"/>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Change in state level unionization rate</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-0.456</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0.938</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Intercept term</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-1.516</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0.096</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Observations</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9629</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R-Squared</w:t>
            </w:r>
          </w:p>
        </w:tc>
        <w:tc>
          <w:tcPr>
            <w:tcW w:w="99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0.10</w:t>
            </w:r>
          </w:p>
        </w:tc>
        <w:tc>
          <w:tcPr>
            <w:tcW w:w="952"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jc w:val="center"/>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w:t>
            </w:r>
          </w:p>
        </w:tc>
      </w:tr>
      <w:tr w:rsidR="003F4645" w:rsidRPr="00BF790C" w:rsidTr="00BE1A6B">
        <w:trPr>
          <w:trHeight w:hRule="exact" w:val="288"/>
        </w:trPr>
        <w:tc>
          <w:tcPr>
            <w:tcW w:w="93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r w:rsidRPr="00BF790C">
              <w:rPr>
                <w:rFonts w:ascii="Times New Roman" w:eastAsia="Times New Roman" w:hAnsi="Times New Roman" w:cs="Times New Roman"/>
                <w:color w:val="000000"/>
                <w:sz w:val="24"/>
                <w:szCs w:val="24"/>
                <w:lang w:bidi="ar-SA"/>
              </w:rPr>
              <w:t xml:space="preserve">Results are for a </w:t>
            </w:r>
            <w:proofErr w:type="spellStart"/>
            <w:r w:rsidRPr="00BF790C">
              <w:rPr>
                <w:rFonts w:ascii="Times New Roman" w:eastAsia="Times New Roman" w:hAnsi="Times New Roman" w:cs="Times New Roman"/>
                <w:color w:val="000000"/>
                <w:sz w:val="24"/>
                <w:szCs w:val="24"/>
                <w:lang w:bidi="ar-SA"/>
              </w:rPr>
              <w:t>probit</w:t>
            </w:r>
            <w:proofErr w:type="spellEnd"/>
            <w:r w:rsidRPr="00BF790C">
              <w:rPr>
                <w:rFonts w:ascii="Times New Roman" w:eastAsia="Times New Roman" w:hAnsi="Times New Roman" w:cs="Times New Roman"/>
                <w:color w:val="000000"/>
                <w:sz w:val="24"/>
                <w:szCs w:val="24"/>
                <w:lang w:bidi="ar-SA"/>
              </w:rPr>
              <w:t xml:space="preserve"> regression, where the dependent variable is Dependent variable: 0- if the respondent was sponsored and continues to be sponsored, 1- if the respondent was sponsored but lost sponsorship. Standard errors are adjusted for clustering at the state level. Data are for respondents in the SIPP 2008 panel who were ages 25-64 and employed in wave 3 and who remained in the sample through wave 11 and were employed in wave 11. *** denotes significance at the 1% level or better, ** denotes significance at the 5% level or better, * denotes significance at the 10% level or better.</w:t>
            </w:r>
          </w:p>
        </w:tc>
      </w:tr>
      <w:tr w:rsidR="003F4645" w:rsidRPr="00BF790C" w:rsidTr="00BE1A6B">
        <w:trPr>
          <w:trHeight w:hRule="exact" w:val="288"/>
        </w:trPr>
        <w:tc>
          <w:tcPr>
            <w:tcW w:w="9380" w:type="dxa"/>
            <w:gridSpan w:val="4"/>
            <w:vMerge/>
            <w:tcBorders>
              <w:top w:val="single" w:sz="4" w:space="0" w:color="auto"/>
              <w:left w:val="single" w:sz="4" w:space="0" w:color="auto"/>
              <w:bottom w:val="single" w:sz="4" w:space="0" w:color="auto"/>
              <w:right w:val="single" w:sz="4" w:space="0" w:color="auto"/>
            </w:tcBorders>
            <w:vAlign w:val="center"/>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p>
        </w:tc>
      </w:tr>
      <w:tr w:rsidR="003F4645" w:rsidRPr="00BF790C" w:rsidTr="00BE1A6B">
        <w:trPr>
          <w:trHeight w:hRule="exact" w:val="288"/>
        </w:trPr>
        <w:tc>
          <w:tcPr>
            <w:tcW w:w="9380" w:type="dxa"/>
            <w:gridSpan w:val="4"/>
            <w:vMerge/>
            <w:tcBorders>
              <w:top w:val="single" w:sz="4" w:space="0" w:color="auto"/>
              <w:left w:val="single" w:sz="4" w:space="0" w:color="auto"/>
              <w:bottom w:val="single" w:sz="4" w:space="0" w:color="auto"/>
              <w:right w:val="single" w:sz="4" w:space="0" w:color="auto"/>
            </w:tcBorders>
            <w:vAlign w:val="center"/>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p>
        </w:tc>
      </w:tr>
      <w:tr w:rsidR="003F4645" w:rsidRPr="00BF790C" w:rsidTr="00A65AA2">
        <w:trPr>
          <w:trHeight w:hRule="exact" w:val="1279"/>
        </w:trPr>
        <w:tc>
          <w:tcPr>
            <w:tcW w:w="9380" w:type="dxa"/>
            <w:gridSpan w:val="4"/>
            <w:vMerge/>
            <w:tcBorders>
              <w:top w:val="single" w:sz="4" w:space="0" w:color="auto"/>
              <w:left w:val="single" w:sz="4" w:space="0" w:color="auto"/>
              <w:bottom w:val="single" w:sz="4" w:space="0" w:color="auto"/>
              <w:right w:val="single" w:sz="4" w:space="0" w:color="auto"/>
            </w:tcBorders>
            <w:vAlign w:val="center"/>
            <w:hideMark/>
          </w:tcPr>
          <w:p w:rsidR="003F4645" w:rsidRPr="00BF790C" w:rsidRDefault="003F4645" w:rsidP="001F00BE">
            <w:pPr>
              <w:spacing w:after="0" w:line="240" w:lineRule="auto"/>
              <w:rPr>
                <w:rFonts w:ascii="Times New Roman" w:eastAsia="Times New Roman" w:hAnsi="Times New Roman" w:cs="Times New Roman"/>
                <w:color w:val="000000"/>
                <w:sz w:val="24"/>
                <w:szCs w:val="24"/>
                <w:lang w:bidi="ar-SA"/>
              </w:rPr>
            </w:pPr>
          </w:p>
        </w:tc>
      </w:tr>
    </w:tbl>
    <w:p w:rsidR="005373C3" w:rsidRDefault="005373C3" w:rsidP="001F00BE">
      <w:pPr>
        <w:spacing w:line="240" w:lineRule="auto"/>
        <w:rPr>
          <w:rFonts w:ascii="Times New Roman" w:hAnsi="Times New Roman" w:cs="Times New Roman"/>
          <w:sz w:val="24"/>
          <w:szCs w:val="24"/>
        </w:rPr>
      </w:pPr>
    </w:p>
    <w:p w:rsidR="009C2214" w:rsidRDefault="009C2214" w:rsidP="001F00BE">
      <w:pPr>
        <w:spacing w:line="240" w:lineRule="auto"/>
        <w:rPr>
          <w:rFonts w:ascii="Times New Roman" w:hAnsi="Times New Roman" w:cs="Times New Roman"/>
          <w:sz w:val="24"/>
          <w:szCs w:val="24"/>
        </w:rPr>
      </w:pPr>
    </w:p>
    <w:p w:rsidR="009C2214" w:rsidRDefault="009C2214" w:rsidP="001F00BE">
      <w:pPr>
        <w:spacing w:line="240" w:lineRule="auto"/>
        <w:rPr>
          <w:rFonts w:ascii="Times New Roman" w:hAnsi="Times New Roman" w:cs="Times New Roman"/>
          <w:sz w:val="24"/>
          <w:szCs w:val="24"/>
        </w:rPr>
      </w:pPr>
      <w:r w:rsidRPr="009C2214">
        <w:rPr>
          <w:rFonts w:ascii="Times New Roman" w:hAnsi="Times New Roman" w:cs="Times New Roman"/>
          <w:noProof/>
          <w:sz w:val="24"/>
          <w:lang w:bidi="ar-SA"/>
        </w:rPr>
        <w:drawing>
          <wp:inline distT="0" distB="0" distL="0" distR="0">
            <wp:extent cx="5030372" cy="3251915"/>
            <wp:effectExtent l="19050" t="0" r="17878" b="563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2214" w:rsidRDefault="009C2214" w:rsidP="001F00BE">
      <w:pPr>
        <w:spacing w:line="240" w:lineRule="auto"/>
        <w:rPr>
          <w:rFonts w:ascii="Times New Roman" w:hAnsi="Times New Roman" w:cs="Times New Roman"/>
          <w:sz w:val="24"/>
          <w:szCs w:val="24"/>
        </w:rPr>
      </w:pPr>
    </w:p>
    <w:p w:rsidR="009C2214" w:rsidRDefault="009C2214" w:rsidP="001F00BE">
      <w:pPr>
        <w:spacing w:line="240" w:lineRule="auto"/>
        <w:rPr>
          <w:rFonts w:ascii="Times New Roman" w:hAnsi="Times New Roman" w:cs="Times New Roman"/>
          <w:sz w:val="24"/>
          <w:szCs w:val="24"/>
        </w:rPr>
      </w:pPr>
      <w:r w:rsidRPr="009C2214">
        <w:rPr>
          <w:rFonts w:ascii="Times New Roman" w:hAnsi="Times New Roman" w:cs="Times New Roman"/>
          <w:noProof/>
          <w:sz w:val="24"/>
          <w:lang w:bidi="ar-SA"/>
        </w:rPr>
        <w:drawing>
          <wp:inline distT="0" distB="0" distL="0" distR="0">
            <wp:extent cx="5032912" cy="3393583"/>
            <wp:effectExtent l="19050" t="0" r="15338"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2214" w:rsidRDefault="009C2214" w:rsidP="001F00BE">
      <w:pPr>
        <w:spacing w:line="240" w:lineRule="auto"/>
        <w:rPr>
          <w:rFonts w:ascii="Times New Roman" w:hAnsi="Times New Roman" w:cs="Times New Roman"/>
          <w:sz w:val="24"/>
          <w:szCs w:val="24"/>
        </w:rPr>
      </w:pPr>
    </w:p>
    <w:p w:rsidR="009C2214" w:rsidRDefault="009C2214" w:rsidP="001F00BE">
      <w:pPr>
        <w:spacing w:line="240" w:lineRule="auto"/>
        <w:rPr>
          <w:rFonts w:ascii="Times New Roman" w:hAnsi="Times New Roman" w:cs="Times New Roman"/>
          <w:sz w:val="24"/>
          <w:szCs w:val="24"/>
        </w:rPr>
      </w:pPr>
    </w:p>
    <w:p w:rsidR="009C2214" w:rsidRPr="00BF790C" w:rsidRDefault="009C2214" w:rsidP="001F00BE">
      <w:pPr>
        <w:spacing w:line="480" w:lineRule="auto"/>
        <w:rPr>
          <w:rFonts w:ascii="Times New Roman" w:hAnsi="Times New Roman" w:cs="Times New Roman"/>
          <w:sz w:val="24"/>
          <w:szCs w:val="24"/>
        </w:rPr>
      </w:pPr>
      <w:r w:rsidRPr="009C2214">
        <w:rPr>
          <w:rFonts w:ascii="Times New Roman" w:hAnsi="Times New Roman" w:cs="Times New Roman"/>
          <w:noProof/>
          <w:sz w:val="24"/>
          <w:lang w:bidi="ar-SA"/>
        </w:rPr>
        <w:drawing>
          <wp:inline distT="0" distB="0" distL="0" distR="0">
            <wp:extent cx="5232445" cy="3528811"/>
            <wp:effectExtent l="19050" t="0" r="2535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9C2214" w:rsidRPr="00BF790C" w:rsidSect="00222CD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2B" w:rsidRDefault="009E5D2B" w:rsidP="0071329F">
      <w:r>
        <w:separator/>
      </w:r>
    </w:p>
  </w:endnote>
  <w:endnote w:type="continuationSeparator" w:id="0">
    <w:p w:rsidR="009E5D2B" w:rsidRDefault="009E5D2B" w:rsidP="00713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42926"/>
      <w:docPartObj>
        <w:docPartGallery w:val="Page Numbers (Bottom of Page)"/>
        <w:docPartUnique/>
      </w:docPartObj>
    </w:sdtPr>
    <w:sdtContent>
      <w:p w:rsidR="00E6132B" w:rsidRDefault="00EE7170">
        <w:pPr>
          <w:pStyle w:val="Footer"/>
        </w:pPr>
        <w:r>
          <w:fldChar w:fldCharType="begin"/>
        </w:r>
        <w:r w:rsidR="00E6132B">
          <w:instrText xml:space="preserve"> PAGE   \* MERGEFORMAT </w:instrText>
        </w:r>
        <w:r>
          <w:fldChar w:fldCharType="separate"/>
        </w:r>
        <w:r w:rsidR="00272D2D">
          <w:rPr>
            <w:noProof/>
          </w:rPr>
          <w:t>1</w:t>
        </w:r>
        <w:r>
          <w:rPr>
            <w:noProof/>
          </w:rPr>
          <w:fldChar w:fldCharType="end"/>
        </w:r>
      </w:p>
    </w:sdtContent>
  </w:sdt>
  <w:p w:rsidR="00E6132B" w:rsidRDefault="00E61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2B" w:rsidRDefault="009E5D2B" w:rsidP="0071329F">
      <w:r>
        <w:separator/>
      </w:r>
    </w:p>
  </w:footnote>
  <w:footnote w:type="continuationSeparator" w:id="0">
    <w:p w:rsidR="009E5D2B" w:rsidRDefault="009E5D2B" w:rsidP="0071329F">
      <w:r>
        <w:continuationSeparator/>
      </w:r>
    </w:p>
  </w:footnote>
  <w:footnote w:id="1">
    <w:p w:rsidR="00DC4E1C" w:rsidRPr="00786155" w:rsidRDefault="00DC4E1C" w:rsidP="00DC4E1C">
      <w:pPr>
        <w:pStyle w:val="NormalWeb"/>
        <w:spacing w:before="0" w:beforeAutospacing="0" w:after="0" w:afterAutospacing="0" w:line="240" w:lineRule="auto"/>
        <w:rPr>
          <w:rFonts w:ascii="Times New Roman" w:hAnsi="Times New Roman" w:cs="Times New Roman"/>
          <w:sz w:val="24"/>
          <w:szCs w:val="24"/>
        </w:rPr>
      </w:pPr>
      <w:r>
        <w:rPr>
          <w:rStyle w:val="FootnoteReference"/>
        </w:rPr>
        <w:footnoteRef/>
      </w:r>
      <w:r>
        <w:t xml:space="preserve"> We are indebted to </w:t>
      </w:r>
      <w:r w:rsidRPr="00786155">
        <w:rPr>
          <w:rFonts w:ascii="Times New Roman" w:hAnsi="Times New Roman" w:cs="Times New Roman"/>
          <w:sz w:val="24"/>
          <w:szCs w:val="24"/>
        </w:rPr>
        <w:t xml:space="preserve">Lauren Schmitz and Anthony </w:t>
      </w:r>
      <w:proofErr w:type="spellStart"/>
      <w:r w:rsidRPr="00786155">
        <w:rPr>
          <w:rFonts w:ascii="Times New Roman" w:hAnsi="Times New Roman" w:cs="Times New Roman"/>
          <w:sz w:val="24"/>
          <w:szCs w:val="24"/>
        </w:rPr>
        <w:t>Bonen</w:t>
      </w:r>
      <w:proofErr w:type="spellEnd"/>
      <w:r>
        <w:rPr>
          <w:rFonts w:ascii="Times New Roman" w:hAnsi="Times New Roman" w:cs="Times New Roman"/>
          <w:sz w:val="24"/>
          <w:szCs w:val="24"/>
        </w:rPr>
        <w:t xml:space="preserve"> for their excellent research assistance</w:t>
      </w:r>
      <w:r w:rsidRPr="00786155">
        <w:rPr>
          <w:rFonts w:ascii="Times New Roman" w:hAnsi="Times New Roman" w:cs="Times New Roman"/>
          <w:sz w:val="24"/>
          <w:szCs w:val="24"/>
        </w:rPr>
        <w:t>.</w:t>
      </w:r>
      <w:r>
        <w:rPr>
          <w:rFonts w:ascii="Times New Roman" w:hAnsi="Times New Roman" w:cs="Times New Roman"/>
          <w:sz w:val="24"/>
          <w:szCs w:val="24"/>
        </w:rPr>
        <w:t xml:space="preserve"> We are also grateful for the financial support of the W.E. </w:t>
      </w:r>
      <w:proofErr w:type="spellStart"/>
      <w:r>
        <w:rPr>
          <w:rFonts w:ascii="Times New Roman" w:hAnsi="Times New Roman" w:cs="Times New Roman"/>
          <w:sz w:val="24"/>
          <w:szCs w:val="24"/>
        </w:rPr>
        <w:t>UpJohn</w:t>
      </w:r>
      <w:proofErr w:type="spellEnd"/>
      <w:r>
        <w:rPr>
          <w:rFonts w:ascii="Times New Roman" w:hAnsi="Times New Roman" w:cs="Times New Roman"/>
          <w:sz w:val="24"/>
          <w:szCs w:val="24"/>
        </w:rPr>
        <w:t xml:space="preserve"> Institute for Employment Research. The paper benefited from comments made at the MRRC Michigan Retirement Research Consortium Workshop. Special thanks go to David </w:t>
      </w:r>
      <w:proofErr w:type="spellStart"/>
      <w:r>
        <w:rPr>
          <w:rFonts w:ascii="Times New Roman" w:hAnsi="Times New Roman" w:cs="Times New Roman"/>
          <w:sz w:val="24"/>
          <w:szCs w:val="24"/>
        </w:rPr>
        <w:t>Neumark</w:t>
      </w:r>
      <w:proofErr w:type="spellEnd"/>
      <w:r>
        <w:rPr>
          <w:rFonts w:ascii="Times New Roman" w:hAnsi="Times New Roman" w:cs="Times New Roman"/>
          <w:sz w:val="24"/>
          <w:szCs w:val="24"/>
        </w:rPr>
        <w:t xml:space="preserve"> and Olivia Mitchell for their useful suggestions.</w:t>
      </w:r>
    </w:p>
    <w:p w:rsidR="00DC4E1C" w:rsidRDefault="00DC4E1C" w:rsidP="00DC4E1C">
      <w:pPr>
        <w:pStyle w:val="FootnoteText"/>
      </w:pPr>
    </w:p>
  </w:footnote>
  <w:footnote w:id="2">
    <w:p w:rsidR="004F0ACB" w:rsidRPr="002701F6" w:rsidRDefault="004F0ACB" w:rsidP="00F721CC">
      <w:pPr>
        <w:pStyle w:val="FootnoteText"/>
        <w:rPr>
          <w:rFonts w:ascii="Times New Roman" w:hAnsi="Times New Roman" w:cs="Times New Roman"/>
        </w:rPr>
      </w:pPr>
      <w:r w:rsidRPr="002701F6">
        <w:rPr>
          <w:rStyle w:val="FootnoteReference"/>
          <w:rFonts w:ascii="Times New Roman" w:hAnsi="Times New Roman" w:cs="Times New Roman"/>
        </w:rPr>
        <w:footnoteRef/>
      </w:r>
      <w:r w:rsidRPr="002701F6">
        <w:rPr>
          <w:rFonts w:ascii="Times New Roman" w:hAnsi="Times New Roman" w:cs="Times New Roman"/>
        </w:rPr>
        <w:t xml:space="preserve">  Author’s calculations from the 1992-2010 HRS shows the decline is from 59% to 53%, while the SCF shows a drop from 61% in 2001 to 56.6% in 2010The HRS tracks how many respondents age 51+ have a pension through their employer, while the SCF asks whether anyone in the household has a pension of any type. These are different, strictly speaking, from the CPS question, which looks at what fraction of workers report that their employer or union provides pension coverage, even if they do not participate. The SCF and HRS confirm this trend and dispel concerns that this is a CPS data effect.</w:t>
      </w:r>
    </w:p>
    <w:p w:rsidR="004F0ACB" w:rsidRPr="002701F6" w:rsidRDefault="004F0ACB" w:rsidP="00F721CC">
      <w:pPr>
        <w:pStyle w:val="FootnoteText"/>
        <w:rPr>
          <w:rFonts w:ascii="Times New Roman" w:hAnsi="Times New Roman" w:cs="Times New Roman"/>
        </w:rPr>
      </w:pPr>
    </w:p>
  </w:footnote>
  <w:footnote w:id="3">
    <w:p w:rsidR="00E6132B" w:rsidRPr="002701F6" w:rsidRDefault="00E6132B" w:rsidP="00F721CC">
      <w:pPr>
        <w:pStyle w:val="FootnoteText"/>
        <w:spacing w:line="240" w:lineRule="auto"/>
      </w:pPr>
      <w:r>
        <w:rPr>
          <w:rStyle w:val="FootnoteReference"/>
        </w:rPr>
        <w:footnoteRef/>
      </w:r>
      <w:r>
        <w:t xml:space="preserve"> </w:t>
      </w:r>
      <w:r w:rsidRPr="002701F6">
        <w:rPr>
          <w:rFonts w:ascii="Times New Roman" w:hAnsi="Times New Roman" w:cs="Times New Roman"/>
        </w:rPr>
        <w:t>Note that while an employee may report their employer sponsors retirement plans for some employees, it does not mean that the employee is eligible to participate in such an account, or for that matter that the employee participates in it. In other words, the sponsorship rate calculated from the CPS data probably overestimates the availability of</w:t>
      </w:r>
      <w:r>
        <w:rPr>
          <w:rFonts w:ascii="Times New Roman" w:hAnsi="Times New Roman" w:cs="Times New Roman"/>
        </w:rPr>
        <w:t xml:space="preserve"> </w:t>
      </w:r>
      <w:r w:rsidRPr="002701F6">
        <w:rPr>
          <w:rFonts w:ascii="Times New Roman" w:hAnsi="Times New Roman" w:cs="Times New Roman"/>
        </w:rPr>
        <w:t>pension account through an employer.</w:t>
      </w:r>
    </w:p>
  </w:footnote>
  <w:footnote w:id="4">
    <w:p w:rsidR="00E6132B" w:rsidRPr="002701F6" w:rsidRDefault="00E6132B" w:rsidP="002701F6">
      <w:pPr>
        <w:pStyle w:val="FootnoteText"/>
        <w:spacing w:line="240" w:lineRule="auto"/>
      </w:pPr>
      <w:r w:rsidRPr="002701F6">
        <w:rPr>
          <w:rStyle w:val="FootnoteReference"/>
        </w:rPr>
        <w:footnoteRef/>
      </w:r>
      <w:r w:rsidRPr="002701F6">
        <w:t xml:space="preserve"> </w:t>
      </w:r>
      <w:r w:rsidRPr="002701F6">
        <w:rPr>
          <w:rFonts w:ascii="Times New Roman" w:hAnsi="Times New Roman" w:cs="Times New Roman"/>
        </w:rPr>
        <w:t xml:space="preserve">Because they are not limited to current employers, the sample overweighs higher income households who are more likely to have a pension account from work, </w:t>
      </w:r>
      <w:r>
        <w:rPr>
          <w:rFonts w:ascii="Times New Roman" w:hAnsi="Times New Roman" w:cs="Times New Roman"/>
        </w:rPr>
        <w:t xml:space="preserve">and the data is at the household level, </w:t>
      </w:r>
      <w:r w:rsidRPr="002701F6">
        <w:rPr>
          <w:rFonts w:ascii="Times New Roman" w:hAnsi="Times New Roman" w:cs="Times New Roman"/>
        </w:rPr>
        <w:t>any downward trend in the CPS sponsorship rate will be more muted in the SCF.</w:t>
      </w:r>
      <w:r>
        <w:rPr>
          <w:rFonts w:ascii="Times New Roman" w:hAnsi="Times New Roman" w:cs="Times New Roman"/>
        </w:rPr>
        <w:t xml:space="preserve"> </w:t>
      </w:r>
    </w:p>
  </w:footnote>
  <w:footnote w:id="5">
    <w:p w:rsidR="00E6132B" w:rsidRPr="002530C8" w:rsidRDefault="00E6132B" w:rsidP="002530C8">
      <w:pPr>
        <w:spacing w:line="240" w:lineRule="auto"/>
        <w:rPr>
          <w:rFonts w:ascii="Times New Roman" w:hAnsi="Times New Roman" w:cs="Times New Roman"/>
          <w:sz w:val="20"/>
          <w:szCs w:val="20"/>
        </w:rPr>
      </w:pPr>
      <w:r>
        <w:rPr>
          <w:rStyle w:val="FootnoteReference"/>
        </w:rPr>
        <w:footnoteRef/>
      </w:r>
      <w:r>
        <w:t xml:space="preserve"> </w:t>
      </w:r>
      <w:r w:rsidRPr="002530C8">
        <w:rPr>
          <w:rFonts w:ascii="Times New Roman" w:hAnsi="Times New Roman" w:cs="Times New Roman"/>
          <w:sz w:val="20"/>
          <w:szCs w:val="20"/>
        </w:rPr>
        <w:t xml:space="preserve">The standard factors in a retirement-account sponsorship model are worker characteristics that determine demand for retirement accounts and firm characteristics that determine supply of retirement accounts. Research on the determinants of pension sponsorship has found that an increasing share of women, higher paid and higher educated workers and larger firms were key factors in explaining whether an employer sponsored a retirement account in the 1980s. Over time, industrial share, changes in production processes, and the availability of defined contribution – 401(k) type plans became more important factors explaining retirement account coverage changes in the 1990s. </w:t>
      </w:r>
    </w:p>
    <w:p w:rsidR="00E6132B" w:rsidRPr="002530C8" w:rsidRDefault="00E6132B">
      <w:pPr>
        <w:pStyle w:val="FootnoteText"/>
      </w:pPr>
    </w:p>
  </w:footnote>
  <w:footnote w:id="6">
    <w:p w:rsidR="00E6132B" w:rsidRPr="002701F6" w:rsidRDefault="00E6132B">
      <w:pPr>
        <w:pStyle w:val="FootnoteText"/>
        <w:rPr>
          <w:rFonts w:ascii="Times New Roman" w:hAnsi="Times New Roman" w:cs="Times New Roman"/>
        </w:rPr>
      </w:pPr>
      <w:r>
        <w:rPr>
          <w:rStyle w:val="FootnoteReference"/>
        </w:rPr>
        <w:footnoteRef/>
      </w:r>
      <w:r>
        <w:t xml:space="preserve"> </w:t>
      </w:r>
      <w:r w:rsidRPr="002701F6">
        <w:rPr>
          <w:rFonts w:ascii="Times New Roman" w:hAnsi="Times New Roman" w:cs="Times New Roman"/>
        </w:rPr>
        <w:t xml:space="preserve">Except for </w:t>
      </w:r>
      <w:proofErr w:type="spellStart"/>
      <w:r w:rsidRPr="002701F6">
        <w:rPr>
          <w:rFonts w:ascii="Times New Roman" w:hAnsi="Times New Roman" w:cs="Times New Roman"/>
        </w:rPr>
        <w:t>Gini</w:t>
      </w:r>
      <w:proofErr w:type="spellEnd"/>
      <w:r w:rsidRPr="002701F6">
        <w:rPr>
          <w:rFonts w:ascii="Times New Roman" w:hAnsi="Times New Roman" w:cs="Times New Roman"/>
        </w:rPr>
        <w:t xml:space="preserve">, </w:t>
      </w:r>
      <w:proofErr w:type="gramStart"/>
      <w:r w:rsidRPr="002701F6">
        <w:rPr>
          <w:rFonts w:ascii="Times New Roman" w:hAnsi="Times New Roman" w:cs="Times New Roman"/>
        </w:rPr>
        <w:t>which is calculated for 1999 and 2010.</w:t>
      </w:r>
      <w:proofErr w:type="gramEnd"/>
    </w:p>
  </w:footnote>
  <w:footnote w:id="7">
    <w:p w:rsidR="00E6132B" w:rsidRDefault="00E6132B">
      <w:pPr>
        <w:pStyle w:val="FootnoteText"/>
      </w:pPr>
      <w:r>
        <w:rPr>
          <w:rStyle w:val="FootnoteReference"/>
        </w:rPr>
        <w:footnoteRef/>
      </w:r>
      <w:r>
        <w:t xml:space="preserve"> The state GINI coefficient is calculated from the household income distribution.</w:t>
      </w:r>
    </w:p>
  </w:footnote>
  <w:footnote w:id="8">
    <w:p w:rsidR="00E6132B" w:rsidRDefault="00E6132B">
      <w:pPr>
        <w:pStyle w:val="FootnoteText"/>
      </w:pPr>
      <w:r>
        <w:rPr>
          <w:rStyle w:val="FootnoteReference"/>
        </w:rPr>
        <w:footnoteRef/>
      </w:r>
      <w:r>
        <w:t xml:space="preserve"> We anticipate that unemployment rates will have a different impact on bargaining power depending on whether the trend in unemployment rates is positive or negative.</w:t>
      </w:r>
    </w:p>
  </w:footnote>
  <w:footnote w:id="9">
    <w:p w:rsidR="00E6132B" w:rsidRPr="00340181" w:rsidRDefault="00E6132B" w:rsidP="00340181">
      <w:pPr>
        <w:spacing w:line="240" w:lineRule="auto"/>
        <w:rPr>
          <w:rFonts w:ascii="Times New Roman" w:hAnsi="Times New Roman" w:cs="Times New Roman"/>
          <w:sz w:val="32"/>
          <w:szCs w:val="24"/>
        </w:rPr>
      </w:pPr>
      <w:r>
        <w:rPr>
          <w:rStyle w:val="FootnoteReference"/>
        </w:rPr>
        <w:footnoteRef/>
      </w:r>
      <w:r>
        <w:t xml:space="preserve"> </w:t>
      </w:r>
      <w:r w:rsidRPr="00201144">
        <w:rPr>
          <w:rFonts w:ascii="Times New Roman" w:eastAsia="Batang" w:hAnsi="Times New Roman" w:cs="Times New Roman"/>
          <w:sz w:val="20"/>
          <w:szCs w:val="24"/>
        </w:rPr>
        <w:t>X</w:t>
      </w:r>
      <w:r w:rsidRPr="00340181">
        <w:rPr>
          <w:rFonts w:ascii="Batang" w:eastAsia="Batang" w:hAnsi="Batang" w:cs="Times New Roman"/>
          <w:sz w:val="20"/>
          <w:szCs w:val="24"/>
          <w:vertAlign w:val="subscript"/>
        </w:rPr>
        <w:t>2012</w:t>
      </w:r>
      <w:r w:rsidRPr="00340181">
        <w:rPr>
          <w:rFonts w:ascii="Times New Roman" w:hAnsi="Times New Roman" w:cs="Times New Roman"/>
          <w:sz w:val="16"/>
          <w:szCs w:val="24"/>
          <w:vertAlign w:val="subscript"/>
        </w:rPr>
        <w:t>*</w:t>
      </w:r>
      <w:r w:rsidRPr="00340181">
        <w:rPr>
          <w:rFonts w:ascii="Symbol" w:eastAsia="Batang" w:hAnsi="Symbol" w:cs="Times New Roman"/>
          <w:sz w:val="16"/>
          <w:szCs w:val="24"/>
        </w:rPr>
        <w:t></w:t>
      </w:r>
      <w:r w:rsidRPr="00340181">
        <w:rPr>
          <w:rFonts w:ascii="Symbol" w:eastAsia="Batang" w:hAnsi="Symbol" w:cs="Times New Roman"/>
          <w:sz w:val="16"/>
          <w:szCs w:val="24"/>
        </w:rPr>
        <w:t></w:t>
      </w:r>
      <w:r w:rsidRPr="00340181">
        <w:rPr>
          <w:rFonts w:ascii="Batang" w:eastAsia="Batang" w:hAnsi="Batang" w:cs="Times New Roman"/>
          <w:sz w:val="20"/>
          <w:szCs w:val="24"/>
          <w:vertAlign w:val="subscript"/>
        </w:rPr>
        <w:t xml:space="preserve">2012 </w:t>
      </w:r>
      <w:r w:rsidRPr="00340181">
        <w:rPr>
          <w:rFonts w:ascii="Times New Roman" w:hAnsi="Times New Roman" w:cs="Times New Roman"/>
          <w:sz w:val="16"/>
          <w:szCs w:val="24"/>
        </w:rPr>
        <w:t xml:space="preserve">– </w:t>
      </w:r>
      <w:r w:rsidRPr="00201144">
        <w:rPr>
          <w:rFonts w:ascii="Times New Roman" w:eastAsia="Batang" w:hAnsi="Times New Roman" w:cs="Times New Roman"/>
          <w:sz w:val="20"/>
          <w:szCs w:val="24"/>
        </w:rPr>
        <w:t>X</w:t>
      </w:r>
      <w:r w:rsidRPr="00340181">
        <w:rPr>
          <w:rFonts w:ascii="Batang" w:eastAsia="Batang" w:hAnsi="Batang" w:cs="Times New Roman"/>
          <w:sz w:val="20"/>
          <w:szCs w:val="24"/>
          <w:vertAlign w:val="subscript"/>
        </w:rPr>
        <w:t>2001</w:t>
      </w:r>
      <w:r w:rsidRPr="00340181">
        <w:rPr>
          <w:rFonts w:ascii="Times New Roman" w:hAnsi="Times New Roman" w:cs="Times New Roman"/>
          <w:sz w:val="16"/>
          <w:szCs w:val="24"/>
          <w:vertAlign w:val="subscript"/>
        </w:rPr>
        <w:t>*</w:t>
      </w:r>
      <w:r w:rsidRPr="00340181">
        <w:rPr>
          <w:rFonts w:ascii="Symbol" w:eastAsia="Batang" w:hAnsi="Symbol" w:cs="Times New Roman"/>
          <w:sz w:val="16"/>
          <w:szCs w:val="24"/>
        </w:rPr>
        <w:t></w:t>
      </w:r>
      <w:r w:rsidRPr="00340181">
        <w:rPr>
          <w:rFonts w:ascii="Symbol" w:eastAsia="Batang" w:hAnsi="Symbol" w:cs="Times New Roman"/>
          <w:sz w:val="16"/>
          <w:szCs w:val="24"/>
        </w:rPr>
        <w:t></w:t>
      </w:r>
      <w:r w:rsidRPr="00340181">
        <w:rPr>
          <w:rFonts w:ascii="Batang" w:eastAsia="Batang" w:hAnsi="Batang" w:cs="Times New Roman"/>
          <w:sz w:val="20"/>
          <w:szCs w:val="24"/>
          <w:vertAlign w:val="subscript"/>
        </w:rPr>
        <w:t>2001</w:t>
      </w:r>
      <w:r w:rsidRPr="00340181">
        <w:rPr>
          <w:rFonts w:ascii="Times New Roman" w:hAnsi="Times New Roman" w:cs="Times New Roman"/>
          <w:sz w:val="16"/>
          <w:szCs w:val="24"/>
        </w:rPr>
        <w:t xml:space="preserve">= </w:t>
      </w:r>
      <w:r w:rsidRPr="00201144">
        <w:rPr>
          <w:rFonts w:ascii="Times New Roman" w:eastAsia="Batang" w:hAnsi="Times New Roman" w:cs="Times New Roman"/>
          <w:sz w:val="20"/>
          <w:szCs w:val="24"/>
        </w:rPr>
        <w:t>X</w:t>
      </w:r>
      <w:r w:rsidRPr="00340181">
        <w:rPr>
          <w:rFonts w:ascii="Batang" w:eastAsia="Batang" w:hAnsi="Batang" w:cs="Times New Roman"/>
          <w:sz w:val="20"/>
          <w:szCs w:val="24"/>
          <w:vertAlign w:val="subscript"/>
        </w:rPr>
        <w:t>2001</w:t>
      </w:r>
      <w:r w:rsidRPr="00340181">
        <w:rPr>
          <w:rFonts w:ascii="Times New Roman" w:hAnsi="Times New Roman" w:cs="Times New Roman"/>
          <w:sz w:val="16"/>
          <w:szCs w:val="24"/>
          <w:vertAlign w:val="subscript"/>
        </w:rPr>
        <w:t>*</w:t>
      </w:r>
      <w:r w:rsidRPr="00340181">
        <w:rPr>
          <w:rFonts w:ascii="Symbol" w:eastAsia="Batang" w:hAnsi="Symbol" w:cs="Times New Roman"/>
          <w:sz w:val="16"/>
          <w:szCs w:val="24"/>
        </w:rPr>
        <w:t></w:t>
      </w:r>
      <w:r w:rsidRPr="00201144">
        <w:rPr>
          <w:rFonts w:ascii="Times New Roman" w:eastAsia="Batang" w:hAnsi="Times New Roman" w:cs="Times New Roman"/>
          <w:sz w:val="20"/>
          <w:szCs w:val="24"/>
        </w:rPr>
        <w:t>d</w:t>
      </w:r>
      <w:r w:rsidRPr="00340181">
        <w:rPr>
          <w:rFonts w:ascii="Symbol" w:eastAsia="Batang" w:hAnsi="Symbol" w:cs="Times New Roman"/>
          <w:sz w:val="16"/>
          <w:szCs w:val="24"/>
        </w:rPr>
        <w:t></w:t>
      </w:r>
      <w:r w:rsidRPr="00340181">
        <w:rPr>
          <w:rFonts w:ascii="Batang" w:eastAsia="Batang" w:hAnsi="Batang" w:cs="Times New Roman"/>
          <w:sz w:val="20"/>
          <w:szCs w:val="24"/>
          <w:vertAlign w:val="subscript"/>
        </w:rPr>
        <w:t xml:space="preserve"> </w:t>
      </w:r>
      <w:r w:rsidRPr="00340181">
        <w:rPr>
          <w:rFonts w:ascii="Times New Roman" w:hAnsi="Times New Roman" w:cs="Times New Roman"/>
          <w:sz w:val="16"/>
          <w:szCs w:val="24"/>
        </w:rPr>
        <w:t xml:space="preserve">+ </w:t>
      </w:r>
      <w:r w:rsidRPr="00340181">
        <w:rPr>
          <w:rFonts w:ascii="Symbol" w:eastAsia="Batang" w:hAnsi="Symbol" w:cs="Times New Roman"/>
          <w:sz w:val="16"/>
          <w:szCs w:val="24"/>
        </w:rPr>
        <w:t></w:t>
      </w:r>
      <w:r w:rsidRPr="00340181">
        <w:rPr>
          <w:rFonts w:ascii="Batang" w:eastAsia="Batang" w:hAnsi="Batang" w:cs="Times New Roman"/>
          <w:sz w:val="20"/>
          <w:szCs w:val="24"/>
          <w:vertAlign w:val="subscript"/>
        </w:rPr>
        <w:t>2001</w:t>
      </w:r>
      <w:r w:rsidRPr="00201144">
        <w:rPr>
          <w:rFonts w:ascii="Times New Roman" w:eastAsia="Batang" w:hAnsi="Times New Roman" w:cs="Times New Roman"/>
          <w:sz w:val="20"/>
          <w:szCs w:val="24"/>
        </w:rPr>
        <w:t xml:space="preserve">dX + </w:t>
      </w:r>
      <w:proofErr w:type="spellStart"/>
      <w:r w:rsidRPr="00201144">
        <w:rPr>
          <w:rFonts w:ascii="Times New Roman" w:eastAsia="Batang" w:hAnsi="Times New Roman" w:cs="Times New Roman"/>
          <w:sz w:val="20"/>
          <w:szCs w:val="24"/>
        </w:rPr>
        <w:t>dX</w:t>
      </w:r>
      <w:proofErr w:type="spellEnd"/>
      <w:r w:rsidRPr="00340181">
        <w:rPr>
          <w:rFonts w:ascii="Batang" w:eastAsia="Batang" w:hAnsi="Batang" w:cs="Times New Roman"/>
          <w:sz w:val="20"/>
          <w:szCs w:val="24"/>
        </w:rPr>
        <w:t>*</w:t>
      </w:r>
      <w:r w:rsidRPr="00201144">
        <w:rPr>
          <w:rFonts w:ascii="Times New Roman" w:eastAsia="Batang" w:hAnsi="Times New Roman" w:cs="Times New Roman"/>
          <w:sz w:val="20"/>
          <w:szCs w:val="24"/>
        </w:rPr>
        <w:t>d</w:t>
      </w:r>
      <w:r w:rsidRPr="00340181">
        <w:rPr>
          <w:rFonts w:ascii="Symbol" w:eastAsia="Batang" w:hAnsi="Symbol" w:cs="Times New Roman"/>
          <w:sz w:val="16"/>
          <w:szCs w:val="24"/>
        </w:rPr>
        <w:t></w:t>
      </w:r>
      <w:r w:rsidRPr="00340181">
        <w:rPr>
          <w:rFonts w:ascii="Symbol" w:eastAsia="Batang" w:hAnsi="Symbol" w:cs="Times New Roman"/>
          <w:sz w:val="16"/>
          <w:szCs w:val="24"/>
        </w:rPr>
        <w:t></w:t>
      </w:r>
    </w:p>
  </w:footnote>
  <w:footnote w:id="10">
    <w:p w:rsidR="00E6132B" w:rsidRDefault="00E6132B">
      <w:pPr>
        <w:pStyle w:val="FootnoteText"/>
      </w:pPr>
      <w:r>
        <w:rPr>
          <w:rStyle w:val="FootnoteReference"/>
        </w:rPr>
        <w:footnoteRef/>
      </w:r>
      <w:r>
        <w:t xml:space="preserve"> Also called the explained component</w:t>
      </w:r>
    </w:p>
  </w:footnote>
  <w:footnote w:id="11">
    <w:p w:rsidR="00E6132B" w:rsidRDefault="00E6132B">
      <w:pPr>
        <w:pStyle w:val="FootnoteText"/>
      </w:pPr>
      <w:r>
        <w:rPr>
          <w:rStyle w:val="FootnoteReference"/>
        </w:rPr>
        <w:footnoteRef/>
      </w:r>
      <w:r>
        <w:t xml:space="preserve"> Also called the unexplained component</w:t>
      </w:r>
    </w:p>
  </w:footnote>
  <w:footnote w:id="12">
    <w:p w:rsidR="00E6132B" w:rsidRPr="00340181" w:rsidRDefault="00E6132B" w:rsidP="00340181">
      <w:pPr>
        <w:spacing w:line="240" w:lineRule="auto"/>
        <w:rPr>
          <w:rFonts w:ascii="Times New Roman" w:hAnsi="Times New Roman" w:cs="Times New Roman"/>
          <w:sz w:val="24"/>
          <w:szCs w:val="24"/>
        </w:rPr>
      </w:pPr>
      <w:r>
        <w:rPr>
          <w:rStyle w:val="FootnoteReference"/>
        </w:rPr>
        <w:footnoteRef/>
      </w:r>
      <w:r>
        <w:t xml:space="preserve"> </w:t>
      </w:r>
      <w:r w:rsidRPr="00340181">
        <w:rPr>
          <w:rFonts w:ascii="Times New Roman" w:hAnsi="Times New Roman" w:cs="Times New Roman"/>
          <w:sz w:val="20"/>
          <w:szCs w:val="24"/>
        </w:rPr>
        <w:t xml:space="preserve">It is clear from our questions that 2000-2002 should be the base period. The threefold decomposition is the only version of Oaxaca Blinder that allows us to use 2000-2002 as the base period for both the </w:t>
      </w:r>
      <w:r>
        <w:rPr>
          <w:rFonts w:ascii="Times New Roman" w:hAnsi="Times New Roman" w:cs="Times New Roman"/>
          <w:sz w:val="20"/>
          <w:szCs w:val="24"/>
        </w:rPr>
        <w:t>endowment and the coefficient effects</w:t>
      </w:r>
      <w:r w:rsidRPr="00340181">
        <w:rPr>
          <w:rFonts w:ascii="Times New Roman" w:hAnsi="Times New Roman" w:cs="Times New Roman"/>
          <w:sz w:val="20"/>
          <w:szCs w:val="24"/>
        </w:rPr>
        <w:t>.</w:t>
      </w:r>
    </w:p>
  </w:footnote>
  <w:footnote w:id="13">
    <w:p w:rsidR="00E6132B" w:rsidRDefault="00E6132B" w:rsidP="00E359C1">
      <w:pPr>
        <w:pStyle w:val="FootnoteText"/>
      </w:pPr>
      <w:r>
        <w:rPr>
          <w:rStyle w:val="FootnoteReference"/>
        </w:rPr>
        <w:footnoteRef/>
      </w:r>
      <w:r>
        <w:t xml:space="preserve"> </w:t>
      </w:r>
      <w:r>
        <w:rPr>
          <w:rFonts w:ascii="Times New Roman" w:hAnsi="Times New Roman" w:cs="Times New Roman"/>
        </w:rPr>
        <w:t xml:space="preserve">A detailed decomposition of the coefficient and the interaction effects relies on estimated </w:t>
      </w:r>
      <w:proofErr w:type="spellStart"/>
      <w:r>
        <w:rPr>
          <w:rFonts w:ascii="Times New Roman" w:hAnsi="Times New Roman" w:cs="Times New Roman"/>
        </w:rPr>
        <w:t>probit</w:t>
      </w:r>
      <w:proofErr w:type="spellEnd"/>
      <w:r>
        <w:rPr>
          <w:rFonts w:ascii="Times New Roman" w:hAnsi="Times New Roman" w:cs="Times New Roman"/>
        </w:rPr>
        <w:t xml:space="preserve"> coefficients (betas); since the betas differ depending on the choice of omitted category, there is no unique detailed decomposition of the coefficient and the interaction effects. The </w:t>
      </w:r>
      <w:proofErr w:type="spellStart"/>
      <w:r>
        <w:rPr>
          <w:rFonts w:ascii="Times New Roman" w:hAnsi="Times New Roman" w:cs="Times New Roman"/>
        </w:rPr>
        <w:t>Yun</w:t>
      </w:r>
      <w:proofErr w:type="spellEnd"/>
      <w:r>
        <w:rPr>
          <w:rFonts w:ascii="Times New Roman" w:hAnsi="Times New Roman" w:cs="Times New Roman"/>
        </w:rPr>
        <w:t xml:space="preserve"> (2005) method transforms the coefficients making them invariant to the choice of omitted category, and therefore, it allows us to conduct a detailed decomposition of the coefficient and the interaction effects.</w:t>
      </w:r>
    </w:p>
  </w:footnote>
  <w:footnote w:id="14">
    <w:p w:rsidR="00E6132B" w:rsidRPr="002701F6" w:rsidRDefault="00E6132B" w:rsidP="00D4461F">
      <w:pPr>
        <w:pStyle w:val="FootnoteText"/>
        <w:rPr>
          <w:rFonts w:ascii="Times New Roman" w:hAnsi="Times New Roman" w:cs="Times New Roman"/>
        </w:rPr>
      </w:pPr>
      <w:r>
        <w:rPr>
          <w:rStyle w:val="FootnoteReference"/>
        </w:rPr>
        <w:footnoteRef/>
      </w:r>
      <w:r>
        <w:t xml:space="preserve"> </w:t>
      </w:r>
      <w:r w:rsidRPr="002701F6">
        <w:rPr>
          <w:rFonts w:ascii="Times New Roman" w:hAnsi="Times New Roman" w:cs="Times New Roman"/>
        </w:rPr>
        <w:t xml:space="preserve">Note that the clustering does not impact the consistency of the </w:t>
      </w:r>
      <w:proofErr w:type="spellStart"/>
      <w:r w:rsidRPr="002701F6">
        <w:rPr>
          <w:rFonts w:ascii="Times New Roman" w:hAnsi="Times New Roman" w:cs="Times New Roman"/>
        </w:rPr>
        <w:t>probit</w:t>
      </w:r>
      <w:proofErr w:type="spellEnd"/>
      <w:r w:rsidRPr="002701F6">
        <w:rPr>
          <w:rFonts w:ascii="Times New Roman" w:hAnsi="Times New Roman" w:cs="Times New Roman"/>
        </w:rPr>
        <w:t xml:space="preserve"> estimates. Assuming the model is correctly specified, the </w:t>
      </w:r>
      <w:proofErr w:type="spellStart"/>
      <w:r w:rsidRPr="002701F6">
        <w:rPr>
          <w:rFonts w:ascii="Times New Roman" w:hAnsi="Times New Roman" w:cs="Times New Roman"/>
        </w:rPr>
        <w:t>probit</w:t>
      </w:r>
      <w:proofErr w:type="spellEnd"/>
      <w:r w:rsidRPr="002701F6">
        <w:rPr>
          <w:rFonts w:ascii="Times New Roman" w:hAnsi="Times New Roman" w:cs="Times New Roman"/>
        </w:rPr>
        <w:t xml:space="preserve"> coefficients are accurate, and therefore the decomposition exercise is unaffected.</w:t>
      </w:r>
    </w:p>
  </w:footnote>
  <w:footnote w:id="15">
    <w:p w:rsidR="00E6132B" w:rsidRDefault="00E6132B">
      <w:pPr>
        <w:pStyle w:val="FootnoteText"/>
      </w:pPr>
      <w:r>
        <w:rPr>
          <w:rStyle w:val="FootnoteReference"/>
        </w:rPr>
        <w:footnoteRef/>
      </w:r>
      <w:r>
        <w:t xml:space="preserve"> The results from this method are not fully comparable to the </w:t>
      </w:r>
      <w:proofErr w:type="spellStart"/>
      <w:r>
        <w:t>probit</w:t>
      </w:r>
      <w:proofErr w:type="spellEnd"/>
      <w:r>
        <w:t xml:space="preserve"> coefficients we estimated originally, because the model we used constrained the intercept term to be the same across states, whereas in the current exercise, each state has its own intercept term.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780073"/>
      <w:docPartObj>
        <w:docPartGallery w:val="Page Numbers (Top of Page)"/>
        <w:docPartUnique/>
      </w:docPartObj>
    </w:sdtPr>
    <w:sdtEndPr>
      <w:rPr>
        <w:noProof/>
      </w:rPr>
    </w:sdtEndPr>
    <w:sdtContent>
      <w:p w:rsidR="006A4A48" w:rsidRDefault="00EE7170">
        <w:pPr>
          <w:pStyle w:val="Header"/>
          <w:jc w:val="right"/>
        </w:pPr>
        <w:r>
          <w:fldChar w:fldCharType="begin"/>
        </w:r>
        <w:r w:rsidR="006A4A48">
          <w:instrText xml:space="preserve"> PAGE   \* MERGEFORMAT </w:instrText>
        </w:r>
        <w:r>
          <w:fldChar w:fldCharType="separate"/>
        </w:r>
        <w:r w:rsidR="00272D2D">
          <w:rPr>
            <w:noProof/>
          </w:rPr>
          <w:t>1</w:t>
        </w:r>
        <w:r>
          <w:rPr>
            <w:noProof/>
          </w:rPr>
          <w:fldChar w:fldCharType="end"/>
        </w:r>
      </w:p>
    </w:sdtContent>
  </w:sdt>
  <w:p w:rsidR="00E6132B" w:rsidRDefault="00E613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62054"/>
    <w:multiLevelType w:val="hybridMultilevel"/>
    <w:tmpl w:val="BBD0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912D4"/>
    <w:multiLevelType w:val="hybridMultilevel"/>
    <w:tmpl w:val="A9A82552"/>
    <w:lvl w:ilvl="0" w:tplc="0BB2FBAA">
      <w:start w:val="1"/>
      <w:numFmt w:val="decimal"/>
      <w:lvlText w:val="%1."/>
      <w:lvlJc w:val="left"/>
      <w:pPr>
        <w:tabs>
          <w:tab w:val="num" w:pos="720"/>
        </w:tabs>
        <w:ind w:left="720" w:hanging="360"/>
      </w:pPr>
    </w:lvl>
    <w:lvl w:ilvl="1" w:tplc="66483F82" w:tentative="1">
      <w:start w:val="1"/>
      <w:numFmt w:val="decimal"/>
      <w:lvlText w:val="%2."/>
      <w:lvlJc w:val="left"/>
      <w:pPr>
        <w:tabs>
          <w:tab w:val="num" w:pos="1440"/>
        </w:tabs>
        <w:ind w:left="1440" w:hanging="360"/>
      </w:pPr>
    </w:lvl>
    <w:lvl w:ilvl="2" w:tplc="B8ECE7BC" w:tentative="1">
      <w:start w:val="1"/>
      <w:numFmt w:val="decimal"/>
      <w:lvlText w:val="%3."/>
      <w:lvlJc w:val="left"/>
      <w:pPr>
        <w:tabs>
          <w:tab w:val="num" w:pos="2160"/>
        </w:tabs>
        <w:ind w:left="2160" w:hanging="360"/>
      </w:pPr>
    </w:lvl>
    <w:lvl w:ilvl="3" w:tplc="B7EC5466" w:tentative="1">
      <w:start w:val="1"/>
      <w:numFmt w:val="decimal"/>
      <w:lvlText w:val="%4."/>
      <w:lvlJc w:val="left"/>
      <w:pPr>
        <w:tabs>
          <w:tab w:val="num" w:pos="2880"/>
        </w:tabs>
        <w:ind w:left="2880" w:hanging="360"/>
      </w:pPr>
    </w:lvl>
    <w:lvl w:ilvl="4" w:tplc="4E1857D2" w:tentative="1">
      <w:start w:val="1"/>
      <w:numFmt w:val="decimal"/>
      <w:lvlText w:val="%5."/>
      <w:lvlJc w:val="left"/>
      <w:pPr>
        <w:tabs>
          <w:tab w:val="num" w:pos="3600"/>
        </w:tabs>
        <w:ind w:left="3600" w:hanging="360"/>
      </w:pPr>
    </w:lvl>
    <w:lvl w:ilvl="5" w:tplc="63BECA60" w:tentative="1">
      <w:start w:val="1"/>
      <w:numFmt w:val="decimal"/>
      <w:lvlText w:val="%6."/>
      <w:lvlJc w:val="left"/>
      <w:pPr>
        <w:tabs>
          <w:tab w:val="num" w:pos="4320"/>
        </w:tabs>
        <w:ind w:left="4320" w:hanging="360"/>
      </w:pPr>
    </w:lvl>
    <w:lvl w:ilvl="6" w:tplc="659EE88C" w:tentative="1">
      <w:start w:val="1"/>
      <w:numFmt w:val="decimal"/>
      <w:lvlText w:val="%7."/>
      <w:lvlJc w:val="left"/>
      <w:pPr>
        <w:tabs>
          <w:tab w:val="num" w:pos="5040"/>
        </w:tabs>
        <w:ind w:left="5040" w:hanging="360"/>
      </w:pPr>
    </w:lvl>
    <w:lvl w:ilvl="7" w:tplc="C6867AC8" w:tentative="1">
      <w:start w:val="1"/>
      <w:numFmt w:val="decimal"/>
      <w:lvlText w:val="%8."/>
      <w:lvlJc w:val="left"/>
      <w:pPr>
        <w:tabs>
          <w:tab w:val="num" w:pos="5760"/>
        </w:tabs>
        <w:ind w:left="5760" w:hanging="360"/>
      </w:pPr>
    </w:lvl>
    <w:lvl w:ilvl="8" w:tplc="E6247F62" w:tentative="1">
      <w:start w:val="1"/>
      <w:numFmt w:val="decimal"/>
      <w:lvlText w:val="%9."/>
      <w:lvlJc w:val="left"/>
      <w:pPr>
        <w:tabs>
          <w:tab w:val="num" w:pos="6480"/>
        </w:tabs>
        <w:ind w:left="6480" w:hanging="360"/>
      </w:pPr>
    </w:lvl>
  </w:abstractNum>
  <w:abstractNum w:abstractNumId="2">
    <w:nsid w:val="4B21649E"/>
    <w:multiLevelType w:val="hybridMultilevel"/>
    <w:tmpl w:val="BBCC1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724C2"/>
    <w:multiLevelType w:val="hybridMultilevel"/>
    <w:tmpl w:val="8668E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542FA2"/>
    <w:multiLevelType w:val="hybridMultilevel"/>
    <w:tmpl w:val="684E0F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1D297D"/>
    <w:multiLevelType w:val="hybridMultilevel"/>
    <w:tmpl w:val="3B1E6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E446803"/>
    <w:multiLevelType w:val="hybridMultilevel"/>
    <w:tmpl w:val="1CBCD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3973B9"/>
    <w:rsid w:val="00004C44"/>
    <w:rsid w:val="00012807"/>
    <w:rsid w:val="00013204"/>
    <w:rsid w:val="00017009"/>
    <w:rsid w:val="00022A3C"/>
    <w:rsid w:val="000230AE"/>
    <w:rsid w:val="00033089"/>
    <w:rsid w:val="0004142C"/>
    <w:rsid w:val="00062E6D"/>
    <w:rsid w:val="00065B24"/>
    <w:rsid w:val="00075D9B"/>
    <w:rsid w:val="00090D48"/>
    <w:rsid w:val="00090DE9"/>
    <w:rsid w:val="000A1813"/>
    <w:rsid w:val="000A7012"/>
    <w:rsid w:val="000B3D3F"/>
    <w:rsid w:val="000C60A6"/>
    <w:rsid w:val="000D1EE1"/>
    <w:rsid w:val="000E0062"/>
    <w:rsid w:val="000E59DA"/>
    <w:rsid w:val="000E7184"/>
    <w:rsid w:val="000F32C1"/>
    <w:rsid w:val="000F3752"/>
    <w:rsid w:val="000F3C29"/>
    <w:rsid w:val="000F5B2B"/>
    <w:rsid w:val="00100C35"/>
    <w:rsid w:val="001053F4"/>
    <w:rsid w:val="00114C5D"/>
    <w:rsid w:val="001151B1"/>
    <w:rsid w:val="00125645"/>
    <w:rsid w:val="00135237"/>
    <w:rsid w:val="00140264"/>
    <w:rsid w:val="001425C6"/>
    <w:rsid w:val="001468D6"/>
    <w:rsid w:val="0015087F"/>
    <w:rsid w:val="00156C27"/>
    <w:rsid w:val="00166B21"/>
    <w:rsid w:val="00171D12"/>
    <w:rsid w:val="001764C2"/>
    <w:rsid w:val="001817D1"/>
    <w:rsid w:val="00191A64"/>
    <w:rsid w:val="001951CE"/>
    <w:rsid w:val="001A183C"/>
    <w:rsid w:val="001A2878"/>
    <w:rsid w:val="001A48C1"/>
    <w:rsid w:val="001B3649"/>
    <w:rsid w:val="001B46DC"/>
    <w:rsid w:val="001B48D2"/>
    <w:rsid w:val="001C195C"/>
    <w:rsid w:val="001D0175"/>
    <w:rsid w:val="001D0440"/>
    <w:rsid w:val="001D363C"/>
    <w:rsid w:val="001D43C4"/>
    <w:rsid w:val="001D4585"/>
    <w:rsid w:val="001E0738"/>
    <w:rsid w:val="001E0CBA"/>
    <w:rsid w:val="001F00BE"/>
    <w:rsid w:val="001F1A1A"/>
    <w:rsid w:val="00201144"/>
    <w:rsid w:val="00201779"/>
    <w:rsid w:val="00203765"/>
    <w:rsid w:val="0021683F"/>
    <w:rsid w:val="00216BA0"/>
    <w:rsid w:val="00221A91"/>
    <w:rsid w:val="00221F64"/>
    <w:rsid w:val="00222CD4"/>
    <w:rsid w:val="00225AA3"/>
    <w:rsid w:val="002267D9"/>
    <w:rsid w:val="00235FC4"/>
    <w:rsid w:val="002424C8"/>
    <w:rsid w:val="00245108"/>
    <w:rsid w:val="0024568E"/>
    <w:rsid w:val="00251FA8"/>
    <w:rsid w:val="002528A2"/>
    <w:rsid w:val="002530C8"/>
    <w:rsid w:val="002545EC"/>
    <w:rsid w:val="002568BE"/>
    <w:rsid w:val="00261A65"/>
    <w:rsid w:val="00262787"/>
    <w:rsid w:val="002701F6"/>
    <w:rsid w:val="00272D2D"/>
    <w:rsid w:val="002765C4"/>
    <w:rsid w:val="00282D35"/>
    <w:rsid w:val="00291274"/>
    <w:rsid w:val="00291935"/>
    <w:rsid w:val="00294EA5"/>
    <w:rsid w:val="00297A9E"/>
    <w:rsid w:val="002B01F4"/>
    <w:rsid w:val="002B0285"/>
    <w:rsid w:val="002C3452"/>
    <w:rsid w:val="002C5E4D"/>
    <w:rsid w:val="002D3A91"/>
    <w:rsid w:val="002E0075"/>
    <w:rsid w:val="002E2805"/>
    <w:rsid w:val="002F0A85"/>
    <w:rsid w:val="002F4327"/>
    <w:rsid w:val="002F554D"/>
    <w:rsid w:val="002F6317"/>
    <w:rsid w:val="003079D2"/>
    <w:rsid w:val="0031535E"/>
    <w:rsid w:val="00321A5A"/>
    <w:rsid w:val="003226D9"/>
    <w:rsid w:val="003301E5"/>
    <w:rsid w:val="0033313B"/>
    <w:rsid w:val="00340181"/>
    <w:rsid w:val="00342893"/>
    <w:rsid w:val="00345A47"/>
    <w:rsid w:val="003509E5"/>
    <w:rsid w:val="003521A3"/>
    <w:rsid w:val="0036241C"/>
    <w:rsid w:val="003779AF"/>
    <w:rsid w:val="00382894"/>
    <w:rsid w:val="003849C6"/>
    <w:rsid w:val="00385387"/>
    <w:rsid w:val="00386837"/>
    <w:rsid w:val="0038770E"/>
    <w:rsid w:val="003967C3"/>
    <w:rsid w:val="003973B9"/>
    <w:rsid w:val="003A199C"/>
    <w:rsid w:val="003A3CDD"/>
    <w:rsid w:val="003A5B13"/>
    <w:rsid w:val="003A7A35"/>
    <w:rsid w:val="003B1350"/>
    <w:rsid w:val="003B4426"/>
    <w:rsid w:val="003B65D8"/>
    <w:rsid w:val="003C1501"/>
    <w:rsid w:val="003C156E"/>
    <w:rsid w:val="003C203B"/>
    <w:rsid w:val="003C412A"/>
    <w:rsid w:val="003C5C03"/>
    <w:rsid w:val="003C656F"/>
    <w:rsid w:val="003C6CD1"/>
    <w:rsid w:val="003D2EE4"/>
    <w:rsid w:val="003D459A"/>
    <w:rsid w:val="003F1A68"/>
    <w:rsid w:val="003F1C44"/>
    <w:rsid w:val="003F4645"/>
    <w:rsid w:val="0040652A"/>
    <w:rsid w:val="00411C7B"/>
    <w:rsid w:val="004200F4"/>
    <w:rsid w:val="004209F8"/>
    <w:rsid w:val="00423001"/>
    <w:rsid w:val="00427A08"/>
    <w:rsid w:val="00435DBE"/>
    <w:rsid w:val="004363FB"/>
    <w:rsid w:val="0043673C"/>
    <w:rsid w:val="00442BB2"/>
    <w:rsid w:val="00445665"/>
    <w:rsid w:val="00454974"/>
    <w:rsid w:val="0045746A"/>
    <w:rsid w:val="00461E87"/>
    <w:rsid w:val="00467545"/>
    <w:rsid w:val="0047225C"/>
    <w:rsid w:val="00472961"/>
    <w:rsid w:val="004801AC"/>
    <w:rsid w:val="00493F63"/>
    <w:rsid w:val="004A0B7C"/>
    <w:rsid w:val="004A1D57"/>
    <w:rsid w:val="004A3710"/>
    <w:rsid w:val="004A3F3D"/>
    <w:rsid w:val="004A73F1"/>
    <w:rsid w:val="004D11B2"/>
    <w:rsid w:val="004D2A56"/>
    <w:rsid w:val="004E38CC"/>
    <w:rsid w:val="004F0ACB"/>
    <w:rsid w:val="004F139D"/>
    <w:rsid w:val="004F489F"/>
    <w:rsid w:val="0050232E"/>
    <w:rsid w:val="00507B19"/>
    <w:rsid w:val="00514E3C"/>
    <w:rsid w:val="00515185"/>
    <w:rsid w:val="005152BD"/>
    <w:rsid w:val="00517D8D"/>
    <w:rsid w:val="0052158E"/>
    <w:rsid w:val="00522162"/>
    <w:rsid w:val="005225E1"/>
    <w:rsid w:val="00523A15"/>
    <w:rsid w:val="00523C9F"/>
    <w:rsid w:val="00532EEC"/>
    <w:rsid w:val="00537105"/>
    <w:rsid w:val="005373C3"/>
    <w:rsid w:val="00541924"/>
    <w:rsid w:val="00551936"/>
    <w:rsid w:val="00554B46"/>
    <w:rsid w:val="005636B6"/>
    <w:rsid w:val="0057522E"/>
    <w:rsid w:val="005A6F0E"/>
    <w:rsid w:val="005B3DB7"/>
    <w:rsid w:val="005C359C"/>
    <w:rsid w:val="005D0C5D"/>
    <w:rsid w:val="005D4010"/>
    <w:rsid w:val="005D5B2F"/>
    <w:rsid w:val="005D795E"/>
    <w:rsid w:val="005F189F"/>
    <w:rsid w:val="005F1C2A"/>
    <w:rsid w:val="005F7224"/>
    <w:rsid w:val="006008D4"/>
    <w:rsid w:val="0060156D"/>
    <w:rsid w:val="00602804"/>
    <w:rsid w:val="006143B3"/>
    <w:rsid w:val="00615F62"/>
    <w:rsid w:val="00626109"/>
    <w:rsid w:val="00627963"/>
    <w:rsid w:val="006313F7"/>
    <w:rsid w:val="00640C0F"/>
    <w:rsid w:val="006573DA"/>
    <w:rsid w:val="00662683"/>
    <w:rsid w:val="0067523B"/>
    <w:rsid w:val="006809E9"/>
    <w:rsid w:val="0068167F"/>
    <w:rsid w:val="00686728"/>
    <w:rsid w:val="00687711"/>
    <w:rsid w:val="00687837"/>
    <w:rsid w:val="006942E7"/>
    <w:rsid w:val="00697D3B"/>
    <w:rsid w:val="006A2DBC"/>
    <w:rsid w:val="006A3B4C"/>
    <w:rsid w:val="006A4A48"/>
    <w:rsid w:val="006B0CE4"/>
    <w:rsid w:val="006C0553"/>
    <w:rsid w:val="006C5CFC"/>
    <w:rsid w:val="006D0BE0"/>
    <w:rsid w:val="006D1D5E"/>
    <w:rsid w:val="006D2F4D"/>
    <w:rsid w:val="006D4743"/>
    <w:rsid w:val="006E0312"/>
    <w:rsid w:val="006E635B"/>
    <w:rsid w:val="006E7ED6"/>
    <w:rsid w:val="006F466D"/>
    <w:rsid w:val="006F4C99"/>
    <w:rsid w:val="007125D3"/>
    <w:rsid w:val="0071329F"/>
    <w:rsid w:val="00733C6E"/>
    <w:rsid w:val="0074261D"/>
    <w:rsid w:val="00750484"/>
    <w:rsid w:val="00751252"/>
    <w:rsid w:val="00761927"/>
    <w:rsid w:val="00763727"/>
    <w:rsid w:val="0077582D"/>
    <w:rsid w:val="00775F96"/>
    <w:rsid w:val="007833EE"/>
    <w:rsid w:val="00786155"/>
    <w:rsid w:val="00791DA0"/>
    <w:rsid w:val="007A1AC5"/>
    <w:rsid w:val="007A1CEF"/>
    <w:rsid w:val="007B1DAF"/>
    <w:rsid w:val="007B4AB7"/>
    <w:rsid w:val="007B5885"/>
    <w:rsid w:val="007C0207"/>
    <w:rsid w:val="007C6C54"/>
    <w:rsid w:val="007C6FA9"/>
    <w:rsid w:val="007C74B8"/>
    <w:rsid w:val="007E7962"/>
    <w:rsid w:val="007F2F60"/>
    <w:rsid w:val="007F5175"/>
    <w:rsid w:val="007F602D"/>
    <w:rsid w:val="00802ED5"/>
    <w:rsid w:val="00803A19"/>
    <w:rsid w:val="0081216E"/>
    <w:rsid w:val="00812E6D"/>
    <w:rsid w:val="00834278"/>
    <w:rsid w:val="00837348"/>
    <w:rsid w:val="00846102"/>
    <w:rsid w:val="008477A3"/>
    <w:rsid w:val="008501EF"/>
    <w:rsid w:val="0085391F"/>
    <w:rsid w:val="00861788"/>
    <w:rsid w:val="00863992"/>
    <w:rsid w:val="00870A89"/>
    <w:rsid w:val="00885CEC"/>
    <w:rsid w:val="008920C7"/>
    <w:rsid w:val="008924BC"/>
    <w:rsid w:val="008A3133"/>
    <w:rsid w:val="008B60A9"/>
    <w:rsid w:val="008B719F"/>
    <w:rsid w:val="008C01B9"/>
    <w:rsid w:val="008C12D2"/>
    <w:rsid w:val="008C1FF3"/>
    <w:rsid w:val="008C32BA"/>
    <w:rsid w:val="008C7211"/>
    <w:rsid w:val="008D0292"/>
    <w:rsid w:val="008D34A7"/>
    <w:rsid w:val="008E0A08"/>
    <w:rsid w:val="008E5279"/>
    <w:rsid w:val="008F2081"/>
    <w:rsid w:val="00900489"/>
    <w:rsid w:val="00914FFC"/>
    <w:rsid w:val="00926162"/>
    <w:rsid w:val="009511D2"/>
    <w:rsid w:val="0096364A"/>
    <w:rsid w:val="00963C9B"/>
    <w:rsid w:val="009651C7"/>
    <w:rsid w:val="009669E6"/>
    <w:rsid w:val="0097316E"/>
    <w:rsid w:val="00974C88"/>
    <w:rsid w:val="00976011"/>
    <w:rsid w:val="00991DBF"/>
    <w:rsid w:val="00992073"/>
    <w:rsid w:val="009940D2"/>
    <w:rsid w:val="00994AEB"/>
    <w:rsid w:val="00995279"/>
    <w:rsid w:val="00997FAE"/>
    <w:rsid w:val="009A04E6"/>
    <w:rsid w:val="009A0CCF"/>
    <w:rsid w:val="009A2D3D"/>
    <w:rsid w:val="009A43DA"/>
    <w:rsid w:val="009A692B"/>
    <w:rsid w:val="009B4408"/>
    <w:rsid w:val="009C2214"/>
    <w:rsid w:val="009C5F83"/>
    <w:rsid w:val="009C60FB"/>
    <w:rsid w:val="009C639F"/>
    <w:rsid w:val="009D1E78"/>
    <w:rsid w:val="009D71C8"/>
    <w:rsid w:val="009E1FEB"/>
    <w:rsid w:val="009E3680"/>
    <w:rsid w:val="009E4396"/>
    <w:rsid w:val="009E5055"/>
    <w:rsid w:val="009E5D2B"/>
    <w:rsid w:val="009F1701"/>
    <w:rsid w:val="009F1BBF"/>
    <w:rsid w:val="00A0001B"/>
    <w:rsid w:val="00A01051"/>
    <w:rsid w:val="00A01C1B"/>
    <w:rsid w:val="00A11D3E"/>
    <w:rsid w:val="00A217BD"/>
    <w:rsid w:val="00A21C85"/>
    <w:rsid w:val="00A32C51"/>
    <w:rsid w:val="00A34470"/>
    <w:rsid w:val="00A35530"/>
    <w:rsid w:val="00A43367"/>
    <w:rsid w:val="00A448B9"/>
    <w:rsid w:val="00A50745"/>
    <w:rsid w:val="00A63530"/>
    <w:rsid w:val="00A65092"/>
    <w:rsid w:val="00A65AA2"/>
    <w:rsid w:val="00A65D3D"/>
    <w:rsid w:val="00A70EFF"/>
    <w:rsid w:val="00A83366"/>
    <w:rsid w:val="00A9167E"/>
    <w:rsid w:val="00A91866"/>
    <w:rsid w:val="00A94B8C"/>
    <w:rsid w:val="00AA2512"/>
    <w:rsid w:val="00AA4276"/>
    <w:rsid w:val="00AB2BDF"/>
    <w:rsid w:val="00AC10FA"/>
    <w:rsid w:val="00AC143B"/>
    <w:rsid w:val="00AC1DD4"/>
    <w:rsid w:val="00AC2C9E"/>
    <w:rsid w:val="00AC3C3F"/>
    <w:rsid w:val="00AC5533"/>
    <w:rsid w:val="00AD24E6"/>
    <w:rsid w:val="00AD7908"/>
    <w:rsid w:val="00AF0D16"/>
    <w:rsid w:val="00B22CE0"/>
    <w:rsid w:val="00B27DF2"/>
    <w:rsid w:val="00B37057"/>
    <w:rsid w:val="00B374D4"/>
    <w:rsid w:val="00B42F41"/>
    <w:rsid w:val="00B4378A"/>
    <w:rsid w:val="00B55113"/>
    <w:rsid w:val="00B55C85"/>
    <w:rsid w:val="00B578C2"/>
    <w:rsid w:val="00B713B9"/>
    <w:rsid w:val="00B71459"/>
    <w:rsid w:val="00B716D9"/>
    <w:rsid w:val="00B9080C"/>
    <w:rsid w:val="00BA08F3"/>
    <w:rsid w:val="00BB3110"/>
    <w:rsid w:val="00BC083B"/>
    <w:rsid w:val="00BC1F89"/>
    <w:rsid w:val="00BC32C3"/>
    <w:rsid w:val="00BD10D0"/>
    <w:rsid w:val="00BE0EED"/>
    <w:rsid w:val="00BE1A6B"/>
    <w:rsid w:val="00BF790C"/>
    <w:rsid w:val="00C12C0B"/>
    <w:rsid w:val="00C151B6"/>
    <w:rsid w:val="00C1593E"/>
    <w:rsid w:val="00C17152"/>
    <w:rsid w:val="00C33364"/>
    <w:rsid w:val="00C34A5D"/>
    <w:rsid w:val="00C35633"/>
    <w:rsid w:val="00C412C0"/>
    <w:rsid w:val="00C417AC"/>
    <w:rsid w:val="00C45711"/>
    <w:rsid w:val="00C50360"/>
    <w:rsid w:val="00C510A6"/>
    <w:rsid w:val="00C54260"/>
    <w:rsid w:val="00C64B7C"/>
    <w:rsid w:val="00C734A1"/>
    <w:rsid w:val="00C74380"/>
    <w:rsid w:val="00C8075C"/>
    <w:rsid w:val="00C8319A"/>
    <w:rsid w:val="00C83F48"/>
    <w:rsid w:val="00CA0F11"/>
    <w:rsid w:val="00CA6FC5"/>
    <w:rsid w:val="00CC3A54"/>
    <w:rsid w:val="00CD4B1A"/>
    <w:rsid w:val="00CE608A"/>
    <w:rsid w:val="00CE65BA"/>
    <w:rsid w:val="00CF7EC4"/>
    <w:rsid w:val="00D02D0D"/>
    <w:rsid w:val="00D0524B"/>
    <w:rsid w:val="00D12440"/>
    <w:rsid w:val="00D25D08"/>
    <w:rsid w:val="00D41306"/>
    <w:rsid w:val="00D42536"/>
    <w:rsid w:val="00D442C9"/>
    <w:rsid w:val="00D4461F"/>
    <w:rsid w:val="00D5137F"/>
    <w:rsid w:val="00D52511"/>
    <w:rsid w:val="00D54576"/>
    <w:rsid w:val="00D56C8A"/>
    <w:rsid w:val="00D60DB8"/>
    <w:rsid w:val="00D63606"/>
    <w:rsid w:val="00D64DDB"/>
    <w:rsid w:val="00D73CE1"/>
    <w:rsid w:val="00D73D2D"/>
    <w:rsid w:val="00D75F6A"/>
    <w:rsid w:val="00D95D94"/>
    <w:rsid w:val="00D96F1A"/>
    <w:rsid w:val="00DA2B35"/>
    <w:rsid w:val="00DB08ED"/>
    <w:rsid w:val="00DC0A14"/>
    <w:rsid w:val="00DC34E9"/>
    <w:rsid w:val="00DC4E1C"/>
    <w:rsid w:val="00DC7403"/>
    <w:rsid w:val="00DD33C8"/>
    <w:rsid w:val="00DD41AA"/>
    <w:rsid w:val="00DD5AA6"/>
    <w:rsid w:val="00DD5E2C"/>
    <w:rsid w:val="00DE0FAE"/>
    <w:rsid w:val="00DE2BCE"/>
    <w:rsid w:val="00DE3F63"/>
    <w:rsid w:val="00DE7B05"/>
    <w:rsid w:val="00DF12A2"/>
    <w:rsid w:val="00E03FBA"/>
    <w:rsid w:val="00E05A79"/>
    <w:rsid w:val="00E05B0C"/>
    <w:rsid w:val="00E12127"/>
    <w:rsid w:val="00E1312D"/>
    <w:rsid w:val="00E16D51"/>
    <w:rsid w:val="00E23631"/>
    <w:rsid w:val="00E31D31"/>
    <w:rsid w:val="00E359C1"/>
    <w:rsid w:val="00E413D0"/>
    <w:rsid w:val="00E4513A"/>
    <w:rsid w:val="00E50312"/>
    <w:rsid w:val="00E600CE"/>
    <w:rsid w:val="00E6132B"/>
    <w:rsid w:val="00E659B3"/>
    <w:rsid w:val="00E72A24"/>
    <w:rsid w:val="00E7484D"/>
    <w:rsid w:val="00E839AE"/>
    <w:rsid w:val="00E87CAA"/>
    <w:rsid w:val="00E92122"/>
    <w:rsid w:val="00E96B5F"/>
    <w:rsid w:val="00EA2088"/>
    <w:rsid w:val="00EA2275"/>
    <w:rsid w:val="00EA4B0C"/>
    <w:rsid w:val="00EA60AB"/>
    <w:rsid w:val="00EB49A1"/>
    <w:rsid w:val="00EB4EA2"/>
    <w:rsid w:val="00EB6EE8"/>
    <w:rsid w:val="00ED7664"/>
    <w:rsid w:val="00EE7170"/>
    <w:rsid w:val="00EF6E0B"/>
    <w:rsid w:val="00F01BE0"/>
    <w:rsid w:val="00F055AF"/>
    <w:rsid w:val="00F06F77"/>
    <w:rsid w:val="00F13786"/>
    <w:rsid w:val="00F24129"/>
    <w:rsid w:val="00F276E4"/>
    <w:rsid w:val="00F3031C"/>
    <w:rsid w:val="00F32069"/>
    <w:rsid w:val="00F41F45"/>
    <w:rsid w:val="00F51AC9"/>
    <w:rsid w:val="00F52FDF"/>
    <w:rsid w:val="00F6310E"/>
    <w:rsid w:val="00F721CC"/>
    <w:rsid w:val="00F73953"/>
    <w:rsid w:val="00F73A00"/>
    <w:rsid w:val="00F7714C"/>
    <w:rsid w:val="00F84E01"/>
    <w:rsid w:val="00F908F5"/>
    <w:rsid w:val="00F97245"/>
    <w:rsid w:val="00FA0012"/>
    <w:rsid w:val="00FA3F19"/>
    <w:rsid w:val="00FA5206"/>
    <w:rsid w:val="00FA6690"/>
    <w:rsid w:val="00FB232D"/>
    <w:rsid w:val="00FB304B"/>
    <w:rsid w:val="00FC27A6"/>
    <w:rsid w:val="00FC37D7"/>
    <w:rsid w:val="00FD3E06"/>
    <w:rsid w:val="00FE451C"/>
    <w:rsid w:val="00FE6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29"/>
  </w:style>
  <w:style w:type="paragraph" w:styleId="Heading1">
    <w:name w:val="heading 1"/>
    <w:basedOn w:val="Normal"/>
    <w:next w:val="Normal"/>
    <w:link w:val="Heading1Char"/>
    <w:uiPriority w:val="9"/>
    <w:qFormat/>
    <w:rsid w:val="000F3C29"/>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F3C29"/>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F3C29"/>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F3C29"/>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F3C2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F3C2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F3C29"/>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F3C29"/>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F3C2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C29"/>
    <w:rPr>
      <w:smallCaps/>
      <w:spacing w:val="5"/>
      <w:sz w:val="36"/>
      <w:szCs w:val="36"/>
    </w:rPr>
  </w:style>
  <w:style w:type="character" w:customStyle="1" w:styleId="Heading2Char">
    <w:name w:val="Heading 2 Char"/>
    <w:basedOn w:val="DefaultParagraphFont"/>
    <w:link w:val="Heading2"/>
    <w:uiPriority w:val="9"/>
    <w:semiHidden/>
    <w:rsid w:val="000F3C29"/>
    <w:rPr>
      <w:smallCaps/>
      <w:sz w:val="28"/>
      <w:szCs w:val="28"/>
    </w:rPr>
  </w:style>
  <w:style w:type="character" w:customStyle="1" w:styleId="Heading3Char">
    <w:name w:val="Heading 3 Char"/>
    <w:basedOn w:val="DefaultParagraphFont"/>
    <w:link w:val="Heading3"/>
    <w:uiPriority w:val="9"/>
    <w:semiHidden/>
    <w:rsid w:val="000F3C29"/>
    <w:rPr>
      <w:i/>
      <w:iCs/>
      <w:smallCaps/>
      <w:spacing w:val="5"/>
      <w:sz w:val="26"/>
      <w:szCs w:val="26"/>
    </w:rPr>
  </w:style>
  <w:style w:type="character" w:customStyle="1" w:styleId="Heading4Char">
    <w:name w:val="Heading 4 Char"/>
    <w:basedOn w:val="DefaultParagraphFont"/>
    <w:link w:val="Heading4"/>
    <w:uiPriority w:val="9"/>
    <w:semiHidden/>
    <w:rsid w:val="000F3C29"/>
    <w:rPr>
      <w:b/>
      <w:bCs/>
      <w:spacing w:val="5"/>
      <w:sz w:val="24"/>
      <w:szCs w:val="24"/>
    </w:rPr>
  </w:style>
  <w:style w:type="character" w:customStyle="1" w:styleId="Heading5Char">
    <w:name w:val="Heading 5 Char"/>
    <w:basedOn w:val="DefaultParagraphFont"/>
    <w:link w:val="Heading5"/>
    <w:uiPriority w:val="9"/>
    <w:semiHidden/>
    <w:rsid w:val="000F3C29"/>
    <w:rPr>
      <w:i/>
      <w:iCs/>
      <w:sz w:val="24"/>
      <w:szCs w:val="24"/>
    </w:rPr>
  </w:style>
  <w:style w:type="character" w:customStyle="1" w:styleId="Heading6Char">
    <w:name w:val="Heading 6 Char"/>
    <w:basedOn w:val="DefaultParagraphFont"/>
    <w:link w:val="Heading6"/>
    <w:uiPriority w:val="9"/>
    <w:semiHidden/>
    <w:rsid w:val="000F3C2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F3C2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F3C29"/>
    <w:rPr>
      <w:b/>
      <w:bCs/>
      <w:color w:val="7F7F7F" w:themeColor="text1" w:themeTint="80"/>
      <w:sz w:val="20"/>
      <w:szCs w:val="20"/>
    </w:rPr>
  </w:style>
  <w:style w:type="character" w:customStyle="1" w:styleId="Heading9Char">
    <w:name w:val="Heading 9 Char"/>
    <w:basedOn w:val="DefaultParagraphFont"/>
    <w:link w:val="Heading9"/>
    <w:uiPriority w:val="9"/>
    <w:semiHidden/>
    <w:rsid w:val="000F3C29"/>
    <w:rPr>
      <w:b/>
      <w:bCs/>
      <w:i/>
      <w:iCs/>
      <w:color w:val="7F7F7F" w:themeColor="text1" w:themeTint="80"/>
      <w:sz w:val="18"/>
      <w:szCs w:val="18"/>
    </w:rPr>
  </w:style>
  <w:style w:type="paragraph" w:styleId="NormalWeb">
    <w:name w:val="Normal (Web)"/>
    <w:basedOn w:val="Normal"/>
    <w:uiPriority w:val="99"/>
    <w:rsid w:val="003973B9"/>
    <w:pPr>
      <w:spacing w:before="100" w:beforeAutospacing="1" w:after="100" w:afterAutospacing="1"/>
    </w:pPr>
  </w:style>
  <w:style w:type="paragraph" w:styleId="FootnoteText">
    <w:name w:val="footnote text"/>
    <w:basedOn w:val="Normal"/>
    <w:link w:val="FootnoteTextChar"/>
    <w:uiPriority w:val="99"/>
    <w:semiHidden/>
    <w:unhideWhenUsed/>
    <w:rsid w:val="0071329F"/>
    <w:rPr>
      <w:sz w:val="20"/>
      <w:szCs w:val="20"/>
    </w:rPr>
  </w:style>
  <w:style w:type="character" w:customStyle="1" w:styleId="FootnoteTextChar">
    <w:name w:val="Footnote Text Char"/>
    <w:basedOn w:val="DefaultParagraphFont"/>
    <w:link w:val="FootnoteText"/>
    <w:uiPriority w:val="99"/>
    <w:semiHidden/>
    <w:rsid w:val="007132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329F"/>
    <w:rPr>
      <w:vertAlign w:val="superscript"/>
    </w:rPr>
  </w:style>
  <w:style w:type="paragraph" w:customStyle="1" w:styleId="Default">
    <w:name w:val="Default"/>
    <w:rsid w:val="003A199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45665"/>
    <w:pPr>
      <w:tabs>
        <w:tab w:val="center" w:pos="4680"/>
        <w:tab w:val="right" w:pos="9360"/>
      </w:tabs>
    </w:pPr>
  </w:style>
  <w:style w:type="character" w:customStyle="1" w:styleId="HeaderChar">
    <w:name w:val="Header Char"/>
    <w:basedOn w:val="DefaultParagraphFont"/>
    <w:link w:val="Header"/>
    <w:uiPriority w:val="99"/>
    <w:rsid w:val="004456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5665"/>
    <w:pPr>
      <w:tabs>
        <w:tab w:val="center" w:pos="4680"/>
        <w:tab w:val="right" w:pos="9360"/>
      </w:tabs>
    </w:pPr>
  </w:style>
  <w:style w:type="character" w:customStyle="1" w:styleId="FooterChar">
    <w:name w:val="Footer Char"/>
    <w:basedOn w:val="DefaultParagraphFont"/>
    <w:link w:val="Footer"/>
    <w:uiPriority w:val="99"/>
    <w:rsid w:val="0044566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3133"/>
    <w:rPr>
      <w:sz w:val="16"/>
      <w:szCs w:val="16"/>
    </w:rPr>
  </w:style>
  <w:style w:type="paragraph" w:styleId="CommentText">
    <w:name w:val="annotation text"/>
    <w:basedOn w:val="Normal"/>
    <w:link w:val="CommentTextChar"/>
    <w:uiPriority w:val="99"/>
    <w:semiHidden/>
    <w:unhideWhenUsed/>
    <w:rsid w:val="008A3133"/>
    <w:rPr>
      <w:sz w:val="20"/>
      <w:szCs w:val="20"/>
    </w:rPr>
  </w:style>
  <w:style w:type="character" w:customStyle="1" w:styleId="CommentTextChar">
    <w:name w:val="Comment Text Char"/>
    <w:basedOn w:val="DefaultParagraphFont"/>
    <w:link w:val="CommentText"/>
    <w:uiPriority w:val="99"/>
    <w:semiHidden/>
    <w:rsid w:val="008A31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3133"/>
    <w:rPr>
      <w:b/>
      <w:bCs/>
    </w:rPr>
  </w:style>
  <w:style w:type="character" w:customStyle="1" w:styleId="CommentSubjectChar">
    <w:name w:val="Comment Subject Char"/>
    <w:basedOn w:val="CommentTextChar"/>
    <w:link w:val="CommentSubject"/>
    <w:uiPriority w:val="99"/>
    <w:semiHidden/>
    <w:rsid w:val="008A31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3133"/>
    <w:rPr>
      <w:rFonts w:ascii="Tahoma" w:hAnsi="Tahoma" w:cs="Tahoma"/>
      <w:sz w:val="16"/>
      <w:szCs w:val="16"/>
    </w:rPr>
  </w:style>
  <w:style w:type="character" w:customStyle="1" w:styleId="BalloonTextChar">
    <w:name w:val="Balloon Text Char"/>
    <w:basedOn w:val="DefaultParagraphFont"/>
    <w:link w:val="BalloonText"/>
    <w:uiPriority w:val="99"/>
    <w:semiHidden/>
    <w:rsid w:val="008A3133"/>
    <w:rPr>
      <w:rFonts w:ascii="Tahoma" w:eastAsia="Times New Roman" w:hAnsi="Tahoma" w:cs="Tahoma"/>
      <w:sz w:val="16"/>
      <w:szCs w:val="16"/>
    </w:rPr>
  </w:style>
  <w:style w:type="character" w:styleId="Strong">
    <w:name w:val="Strong"/>
    <w:uiPriority w:val="22"/>
    <w:qFormat/>
    <w:rsid w:val="000F3C29"/>
    <w:rPr>
      <w:b/>
      <w:bCs/>
    </w:rPr>
  </w:style>
  <w:style w:type="paragraph" w:styleId="ListParagraph">
    <w:name w:val="List Paragraph"/>
    <w:basedOn w:val="Normal"/>
    <w:uiPriority w:val="34"/>
    <w:qFormat/>
    <w:rsid w:val="000F3C29"/>
    <w:pPr>
      <w:ind w:left="720"/>
      <w:contextualSpacing/>
    </w:pPr>
  </w:style>
  <w:style w:type="paragraph" w:styleId="Title">
    <w:name w:val="Title"/>
    <w:basedOn w:val="Normal"/>
    <w:next w:val="Normal"/>
    <w:link w:val="TitleChar"/>
    <w:uiPriority w:val="10"/>
    <w:qFormat/>
    <w:rsid w:val="000F3C29"/>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F3C29"/>
    <w:rPr>
      <w:smallCaps/>
      <w:sz w:val="52"/>
      <w:szCs w:val="52"/>
    </w:rPr>
  </w:style>
  <w:style w:type="paragraph" w:styleId="Subtitle">
    <w:name w:val="Subtitle"/>
    <w:basedOn w:val="Normal"/>
    <w:next w:val="Normal"/>
    <w:link w:val="SubtitleChar"/>
    <w:uiPriority w:val="11"/>
    <w:qFormat/>
    <w:rsid w:val="000F3C29"/>
    <w:rPr>
      <w:i/>
      <w:iCs/>
      <w:smallCaps/>
      <w:spacing w:val="10"/>
      <w:sz w:val="28"/>
      <w:szCs w:val="28"/>
    </w:rPr>
  </w:style>
  <w:style w:type="character" w:customStyle="1" w:styleId="SubtitleChar">
    <w:name w:val="Subtitle Char"/>
    <w:basedOn w:val="DefaultParagraphFont"/>
    <w:link w:val="Subtitle"/>
    <w:uiPriority w:val="11"/>
    <w:rsid w:val="000F3C29"/>
    <w:rPr>
      <w:i/>
      <w:iCs/>
      <w:smallCaps/>
      <w:spacing w:val="10"/>
      <w:sz w:val="28"/>
      <w:szCs w:val="28"/>
    </w:rPr>
  </w:style>
  <w:style w:type="character" w:styleId="Emphasis">
    <w:name w:val="Emphasis"/>
    <w:uiPriority w:val="20"/>
    <w:qFormat/>
    <w:rsid w:val="000F3C29"/>
    <w:rPr>
      <w:b/>
      <w:bCs/>
      <w:i/>
      <w:iCs/>
      <w:spacing w:val="10"/>
    </w:rPr>
  </w:style>
  <w:style w:type="paragraph" w:styleId="NoSpacing">
    <w:name w:val="No Spacing"/>
    <w:basedOn w:val="Normal"/>
    <w:uiPriority w:val="1"/>
    <w:qFormat/>
    <w:rsid w:val="000F3C29"/>
    <w:pPr>
      <w:spacing w:after="0" w:line="240" w:lineRule="auto"/>
    </w:pPr>
  </w:style>
  <w:style w:type="paragraph" w:styleId="Quote">
    <w:name w:val="Quote"/>
    <w:basedOn w:val="Normal"/>
    <w:next w:val="Normal"/>
    <w:link w:val="QuoteChar"/>
    <w:uiPriority w:val="29"/>
    <w:qFormat/>
    <w:rsid w:val="000F3C29"/>
    <w:rPr>
      <w:i/>
      <w:iCs/>
    </w:rPr>
  </w:style>
  <w:style w:type="character" w:customStyle="1" w:styleId="QuoteChar">
    <w:name w:val="Quote Char"/>
    <w:basedOn w:val="DefaultParagraphFont"/>
    <w:link w:val="Quote"/>
    <w:uiPriority w:val="29"/>
    <w:rsid w:val="000F3C29"/>
    <w:rPr>
      <w:i/>
      <w:iCs/>
    </w:rPr>
  </w:style>
  <w:style w:type="paragraph" w:styleId="IntenseQuote">
    <w:name w:val="Intense Quote"/>
    <w:basedOn w:val="Normal"/>
    <w:next w:val="Normal"/>
    <w:link w:val="IntenseQuoteChar"/>
    <w:uiPriority w:val="30"/>
    <w:qFormat/>
    <w:rsid w:val="000F3C29"/>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F3C29"/>
    <w:rPr>
      <w:i/>
      <w:iCs/>
    </w:rPr>
  </w:style>
  <w:style w:type="character" w:styleId="SubtleEmphasis">
    <w:name w:val="Subtle Emphasis"/>
    <w:uiPriority w:val="19"/>
    <w:qFormat/>
    <w:rsid w:val="000F3C29"/>
    <w:rPr>
      <w:i/>
      <w:iCs/>
    </w:rPr>
  </w:style>
  <w:style w:type="character" w:styleId="IntenseEmphasis">
    <w:name w:val="Intense Emphasis"/>
    <w:uiPriority w:val="21"/>
    <w:qFormat/>
    <w:rsid w:val="000F3C29"/>
    <w:rPr>
      <w:b/>
      <w:bCs/>
      <w:i/>
      <w:iCs/>
    </w:rPr>
  </w:style>
  <w:style w:type="character" w:styleId="SubtleReference">
    <w:name w:val="Subtle Reference"/>
    <w:basedOn w:val="DefaultParagraphFont"/>
    <w:uiPriority w:val="31"/>
    <w:qFormat/>
    <w:rsid w:val="000F3C29"/>
    <w:rPr>
      <w:smallCaps/>
    </w:rPr>
  </w:style>
  <w:style w:type="character" w:styleId="IntenseReference">
    <w:name w:val="Intense Reference"/>
    <w:uiPriority w:val="32"/>
    <w:qFormat/>
    <w:rsid w:val="000F3C29"/>
    <w:rPr>
      <w:b/>
      <w:bCs/>
      <w:smallCaps/>
    </w:rPr>
  </w:style>
  <w:style w:type="character" w:styleId="BookTitle">
    <w:name w:val="Book Title"/>
    <w:basedOn w:val="DefaultParagraphFont"/>
    <w:uiPriority w:val="33"/>
    <w:qFormat/>
    <w:rsid w:val="000F3C29"/>
    <w:rPr>
      <w:i/>
      <w:iCs/>
      <w:smallCaps/>
      <w:spacing w:val="5"/>
    </w:rPr>
  </w:style>
  <w:style w:type="paragraph" w:styleId="TOCHeading">
    <w:name w:val="TOC Heading"/>
    <w:basedOn w:val="Heading1"/>
    <w:next w:val="Normal"/>
    <w:uiPriority w:val="39"/>
    <w:semiHidden/>
    <w:unhideWhenUsed/>
    <w:qFormat/>
    <w:rsid w:val="000F3C29"/>
    <w:pPr>
      <w:outlineLvl w:val="9"/>
    </w:pPr>
  </w:style>
  <w:style w:type="paragraph" w:styleId="EndnoteText">
    <w:name w:val="endnote text"/>
    <w:basedOn w:val="Normal"/>
    <w:link w:val="EndnoteTextChar"/>
    <w:uiPriority w:val="99"/>
    <w:semiHidden/>
    <w:unhideWhenUsed/>
    <w:rsid w:val="008E0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0A08"/>
    <w:rPr>
      <w:sz w:val="20"/>
      <w:szCs w:val="20"/>
    </w:rPr>
  </w:style>
  <w:style w:type="character" w:styleId="EndnoteReference">
    <w:name w:val="endnote reference"/>
    <w:basedOn w:val="DefaultParagraphFont"/>
    <w:uiPriority w:val="99"/>
    <w:semiHidden/>
    <w:unhideWhenUsed/>
    <w:rsid w:val="008E0A08"/>
    <w:rPr>
      <w:vertAlign w:val="superscript"/>
    </w:rPr>
  </w:style>
  <w:style w:type="paragraph" w:styleId="HTMLPreformatted">
    <w:name w:val="HTML Preformatted"/>
    <w:basedOn w:val="Normal"/>
    <w:link w:val="HTMLPreformattedChar"/>
    <w:uiPriority w:val="99"/>
    <w:unhideWhenUsed/>
    <w:rsid w:val="0049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93F63"/>
    <w:rPr>
      <w:rFonts w:ascii="Courier New" w:eastAsia="Times New Roman" w:hAnsi="Courier New" w:cs="Courier New"/>
      <w:sz w:val="20"/>
      <w:szCs w:val="20"/>
      <w:lang w:bidi="ar-SA"/>
    </w:rPr>
  </w:style>
  <w:style w:type="character" w:customStyle="1" w:styleId="apple-converted-space">
    <w:name w:val="apple-converted-space"/>
    <w:basedOn w:val="DefaultParagraphFont"/>
    <w:rsid w:val="00A65D3D"/>
  </w:style>
  <w:style w:type="table" w:customStyle="1" w:styleId="LightGrid-Accent11">
    <w:name w:val="Light Grid - Accent 11"/>
    <w:basedOn w:val="TableNormal"/>
    <w:uiPriority w:val="62"/>
    <w:rsid w:val="00733C6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D95D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D95D9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1">
    <w:name w:val="Light List - Accent 11"/>
    <w:basedOn w:val="TableNormal"/>
    <w:uiPriority w:val="61"/>
    <w:rsid w:val="00D95D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31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313B"/>
    <w:rPr>
      <w:color w:val="808080"/>
    </w:rPr>
  </w:style>
  <w:style w:type="character" w:styleId="Hyperlink">
    <w:name w:val="Hyperlink"/>
    <w:basedOn w:val="DefaultParagraphFont"/>
    <w:uiPriority w:val="99"/>
    <w:unhideWhenUsed/>
    <w:rsid w:val="00D63606"/>
    <w:rPr>
      <w:color w:val="0000FF"/>
      <w:u w:val="single"/>
    </w:rPr>
  </w:style>
  <w:style w:type="paragraph" w:styleId="Revision">
    <w:name w:val="Revision"/>
    <w:hidden/>
    <w:uiPriority w:val="99"/>
    <w:semiHidden/>
    <w:rsid w:val="009C60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29"/>
  </w:style>
  <w:style w:type="paragraph" w:styleId="Heading1">
    <w:name w:val="heading 1"/>
    <w:basedOn w:val="Normal"/>
    <w:next w:val="Normal"/>
    <w:link w:val="Heading1Char"/>
    <w:uiPriority w:val="9"/>
    <w:qFormat/>
    <w:rsid w:val="000F3C29"/>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F3C29"/>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F3C29"/>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F3C29"/>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F3C2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F3C2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F3C29"/>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F3C29"/>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F3C2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C29"/>
    <w:rPr>
      <w:smallCaps/>
      <w:spacing w:val="5"/>
      <w:sz w:val="36"/>
      <w:szCs w:val="36"/>
    </w:rPr>
  </w:style>
  <w:style w:type="character" w:customStyle="1" w:styleId="Heading2Char">
    <w:name w:val="Heading 2 Char"/>
    <w:basedOn w:val="DefaultParagraphFont"/>
    <w:link w:val="Heading2"/>
    <w:uiPriority w:val="9"/>
    <w:semiHidden/>
    <w:rsid w:val="000F3C29"/>
    <w:rPr>
      <w:smallCaps/>
      <w:sz w:val="28"/>
      <w:szCs w:val="28"/>
    </w:rPr>
  </w:style>
  <w:style w:type="character" w:customStyle="1" w:styleId="Heading3Char">
    <w:name w:val="Heading 3 Char"/>
    <w:basedOn w:val="DefaultParagraphFont"/>
    <w:link w:val="Heading3"/>
    <w:uiPriority w:val="9"/>
    <w:semiHidden/>
    <w:rsid w:val="000F3C29"/>
    <w:rPr>
      <w:i/>
      <w:iCs/>
      <w:smallCaps/>
      <w:spacing w:val="5"/>
      <w:sz w:val="26"/>
      <w:szCs w:val="26"/>
    </w:rPr>
  </w:style>
  <w:style w:type="character" w:customStyle="1" w:styleId="Heading4Char">
    <w:name w:val="Heading 4 Char"/>
    <w:basedOn w:val="DefaultParagraphFont"/>
    <w:link w:val="Heading4"/>
    <w:uiPriority w:val="9"/>
    <w:semiHidden/>
    <w:rsid w:val="000F3C29"/>
    <w:rPr>
      <w:b/>
      <w:bCs/>
      <w:spacing w:val="5"/>
      <w:sz w:val="24"/>
      <w:szCs w:val="24"/>
    </w:rPr>
  </w:style>
  <w:style w:type="character" w:customStyle="1" w:styleId="Heading5Char">
    <w:name w:val="Heading 5 Char"/>
    <w:basedOn w:val="DefaultParagraphFont"/>
    <w:link w:val="Heading5"/>
    <w:uiPriority w:val="9"/>
    <w:semiHidden/>
    <w:rsid w:val="000F3C29"/>
    <w:rPr>
      <w:i/>
      <w:iCs/>
      <w:sz w:val="24"/>
      <w:szCs w:val="24"/>
    </w:rPr>
  </w:style>
  <w:style w:type="character" w:customStyle="1" w:styleId="Heading6Char">
    <w:name w:val="Heading 6 Char"/>
    <w:basedOn w:val="DefaultParagraphFont"/>
    <w:link w:val="Heading6"/>
    <w:uiPriority w:val="9"/>
    <w:semiHidden/>
    <w:rsid w:val="000F3C2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F3C2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F3C29"/>
    <w:rPr>
      <w:b/>
      <w:bCs/>
      <w:color w:val="7F7F7F" w:themeColor="text1" w:themeTint="80"/>
      <w:sz w:val="20"/>
      <w:szCs w:val="20"/>
    </w:rPr>
  </w:style>
  <w:style w:type="character" w:customStyle="1" w:styleId="Heading9Char">
    <w:name w:val="Heading 9 Char"/>
    <w:basedOn w:val="DefaultParagraphFont"/>
    <w:link w:val="Heading9"/>
    <w:uiPriority w:val="9"/>
    <w:semiHidden/>
    <w:rsid w:val="000F3C29"/>
    <w:rPr>
      <w:b/>
      <w:bCs/>
      <w:i/>
      <w:iCs/>
      <w:color w:val="7F7F7F" w:themeColor="text1" w:themeTint="80"/>
      <w:sz w:val="18"/>
      <w:szCs w:val="18"/>
    </w:rPr>
  </w:style>
  <w:style w:type="paragraph" w:styleId="NormalWeb">
    <w:name w:val="Normal (Web)"/>
    <w:basedOn w:val="Normal"/>
    <w:uiPriority w:val="99"/>
    <w:rsid w:val="003973B9"/>
    <w:pPr>
      <w:spacing w:before="100" w:beforeAutospacing="1" w:after="100" w:afterAutospacing="1"/>
    </w:pPr>
  </w:style>
  <w:style w:type="paragraph" w:styleId="FootnoteText">
    <w:name w:val="footnote text"/>
    <w:basedOn w:val="Normal"/>
    <w:link w:val="FootnoteTextChar"/>
    <w:uiPriority w:val="99"/>
    <w:semiHidden/>
    <w:unhideWhenUsed/>
    <w:rsid w:val="0071329F"/>
    <w:rPr>
      <w:sz w:val="20"/>
      <w:szCs w:val="20"/>
    </w:rPr>
  </w:style>
  <w:style w:type="character" w:customStyle="1" w:styleId="FootnoteTextChar">
    <w:name w:val="Footnote Text Char"/>
    <w:basedOn w:val="DefaultParagraphFont"/>
    <w:link w:val="FootnoteText"/>
    <w:uiPriority w:val="99"/>
    <w:semiHidden/>
    <w:rsid w:val="007132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329F"/>
    <w:rPr>
      <w:vertAlign w:val="superscript"/>
    </w:rPr>
  </w:style>
  <w:style w:type="paragraph" w:customStyle="1" w:styleId="Default">
    <w:name w:val="Default"/>
    <w:rsid w:val="003A199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45665"/>
    <w:pPr>
      <w:tabs>
        <w:tab w:val="center" w:pos="4680"/>
        <w:tab w:val="right" w:pos="9360"/>
      </w:tabs>
    </w:pPr>
  </w:style>
  <w:style w:type="character" w:customStyle="1" w:styleId="HeaderChar">
    <w:name w:val="Header Char"/>
    <w:basedOn w:val="DefaultParagraphFont"/>
    <w:link w:val="Header"/>
    <w:uiPriority w:val="99"/>
    <w:rsid w:val="004456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5665"/>
    <w:pPr>
      <w:tabs>
        <w:tab w:val="center" w:pos="4680"/>
        <w:tab w:val="right" w:pos="9360"/>
      </w:tabs>
    </w:pPr>
  </w:style>
  <w:style w:type="character" w:customStyle="1" w:styleId="FooterChar">
    <w:name w:val="Footer Char"/>
    <w:basedOn w:val="DefaultParagraphFont"/>
    <w:link w:val="Footer"/>
    <w:uiPriority w:val="99"/>
    <w:rsid w:val="0044566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3133"/>
    <w:rPr>
      <w:sz w:val="16"/>
      <w:szCs w:val="16"/>
    </w:rPr>
  </w:style>
  <w:style w:type="paragraph" w:styleId="CommentText">
    <w:name w:val="annotation text"/>
    <w:basedOn w:val="Normal"/>
    <w:link w:val="CommentTextChar"/>
    <w:uiPriority w:val="99"/>
    <w:semiHidden/>
    <w:unhideWhenUsed/>
    <w:rsid w:val="008A3133"/>
    <w:rPr>
      <w:sz w:val="20"/>
      <w:szCs w:val="20"/>
    </w:rPr>
  </w:style>
  <w:style w:type="character" w:customStyle="1" w:styleId="CommentTextChar">
    <w:name w:val="Comment Text Char"/>
    <w:basedOn w:val="DefaultParagraphFont"/>
    <w:link w:val="CommentText"/>
    <w:uiPriority w:val="99"/>
    <w:semiHidden/>
    <w:rsid w:val="008A31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3133"/>
    <w:rPr>
      <w:b/>
      <w:bCs/>
    </w:rPr>
  </w:style>
  <w:style w:type="character" w:customStyle="1" w:styleId="CommentSubjectChar">
    <w:name w:val="Comment Subject Char"/>
    <w:basedOn w:val="CommentTextChar"/>
    <w:link w:val="CommentSubject"/>
    <w:uiPriority w:val="99"/>
    <w:semiHidden/>
    <w:rsid w:val="008A31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3133"/>
    <w:rPr>
      <w:rFonts w:ascii="Tahoma" w:hAnsi="Tahoma" w:cs="Tahoma"/>
      <w:sz w:val="16"/>
      <w:szCs w:val="16"/>
    </w:rPr>
  </w:style>
  <w:style w:type="character" w:customStyle="1" w:styleId="BalloonTextChar">
    <w:name w:val="Balloon Text Char"/>
    <w:basedOn w:val="DefaultParagraphFont"/>
    <w:link w:val="BalloonText"/>
    <w:uiPriority w:val="99"/>
    <w:semiHidden/>
    <w:rsid w:val="008A3133"/>
    <w:rPr>
      <w:rFonts w:ascii="Tahoma" w:eastAsia="Times New Roman" w:hAnsi="Tahoma" w:cs="Tahoma"/>
      <w:sz w:val="16"/>
      <w:szCs w:val="16"/>
    </w:rPr>
  </w:style>
  <w:style w:type="character" w:styleId="Strong">
    <w:name w:val="Strong"/>
    <w:uiPriority w:val="22"/>
    <w:qFormat/>
    <w:rsid w:val="000F3C29"/>
    <w:rPr>
      <w:b/>
      <w:bCs/>
    </w:rPr>
  </w:style>
  <w:style w:type="paragraph" w:styleId="ListParagraph">
    <w:name w:val="List Paragraph"/>
    <w:basedOn w:val="Normal"/>
    <w:uiPriority w:val="34"/>
    <w:qFormat/>
    <w:rsid w:val="000F3C29"/>
    <w:pPr>
      <w:ind w:left="720"/>
      <w:contextualSpacing/>
    </w:pPr>
  </w:style>
  <w:style w:type="paragraph" w:styleId="Title">
    <w:name w:val="Title"/>
    <w:basedOn w:val="Normal"/>
    <w:next w:val="Normal"/>
    <w:link w:val="TitleChar"/>
    <w:uiPriority w:val="10"/>
    <w:qFormat/>
    <w:rsid w:val="000F3C29"/>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F3C29"/>
    <w:rPr>
      <w:smallCaps/>
      <w:sz w:val="52"/>
      <w:szCs w:val="52"/>
    </w:rPr>
  </w:style>
  <w:style w:type="paragraph" w:styleId="Subtitle">
    <w:name w:val="Subtitle"/>
    <w:basedOn w:val="Normal"/>
    <w:next w:val="Normal"/>
    <w:link w:val="SubtitleChar"/>
    <w:uiPriority w:val="11"/>
    <w:qFormat/>
    <w:rsid w:val="000F3C29"/>
    <w:rPr>
      <w:i/>
      <w:iCs/>
      <w:smallCaps/>
      <w:spacing w:val="10"/>
      <w:sz w:val="28"/>
      <w:szCs w:val="28"/>
    </w:rPr>
  </w:style>
  <w:style w:type="character" w:customStyle="1" w:styleId="SubtitleChar">
    <w:name w:val="Subtitle Char"/>
    <w:basedOn w:val="DefaultParagraphFont"/>
    <w:link w:val="Subtitle"/>
    <w:uiPriority w:val="11"/>
    <w:rsid w:val="000F3C29"/>
    <w:rPr>
      <w:i/>
      <w:iCs/>
      <w:smallCaps/>
      <w:spacing w:val="10"/>
      <w:sz w:val="28"/>
      <w:szCs w:val="28"/>
    </w:rPr>
  </w:style>
  <w:style w:type="character" w:styleId="Emphasis">
    <w:name w:val="Emphasis"/>
    <w:uiPriority w:val="20"/>
    <w:qFormat/>
    <w:rsid w:val="000F3C29"/>
    <w:rPr>
      <w:b/>
      <w:bCs/>
      <w:i/>
      <w:iCs/>
      <w:spacing w:val="10"/>
    </w:rPr>
  </w:style>
  <w:style w:type="paragraph" w:styleId="NoSpacing">
    <w:name w:val="No Spacing"/>
    <w:basedOn w:val="Normal"/>
    <w:uiPriority w:val="1"/>
    <w:qFormat/>
    <w:rsid w:val="000F3C29"/>
    <w:pPr>
      <w:spacing w:after="0" w:line="240" w:lineRule="auto"/>
    </w:pPr>
  </w:style>
  <w:style w:type="paragraph" w:styleId="Quote">
    <w:name w:val="Quote"/>
    <w:basedOn w:val="Normal"/>
    <w:next w:val="Normal"/>
    <w:link w:val="QuoteChar"/>
    <w:uiPriority w:val="29"/>
    <w:qFormat/>
    <w:rsid w:val="000F3C29"/>
    <w:rPr>
      <w:i/>
      <w:iCs/>
    </w:rPr>
  </w:style>
  <w:style w:type="character" w:customStyle="1" w:styleId="QuoteChar">
    <w:name w:val="Quote Char"/>
    <w:basedOn w:val="DefaultParagraphFont"/>
    <w:link w:val="Quote"/>
    <w:uiPriority w:val="29"/>
    <w:rsid w:val="000F3C29"/>
    <w:rPr>
      <w:i/>
      <w:iCs/>
    </w:rPr>
  </w:style>
  <w:style w:type="paragraph" w:styleId="IntenseQuote">
    <w:name w:val="Intense Quote"/>
    <w:basedOn w:val="Normal"/>
    <w:next w:val="Normal"/>
    <w:link w:val="IntenseQuoteChar"/>
    <w:uiPriority w:val="30"/>
    <w:qFormat/>
    <w:rsid w:val="000F3C29"/>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F3C29"/>
    <w:rPr>
      <w:i/>
      <w:iCs/>
    </w:rPr>
  </w:style>
  <w:style w:type="character" w:styleId="SubtleEmphasis">
    <w:name w:val="Subtle Emphasis"/>
    <w:uiPriority w:val="19"/>
    <w:qFormat/>
    <w:rsid w:val="000F3C29"/>
    <w:rPr>
      <w:i/>
      <w:iCs/>
    </w:rPr>
  </w:style>
  <w:style w:type="character" w:styleId="IntenseEmphasis">
    <w:name w:val="Intense Emphasis"/>
    <w:uiPriority w:val="21"/>
    <w:qFormat/>
    <w:rsid w:val="000F3C29"/>
    <w:rPr>
      <w:b/>
      <w:bCs/>
      <w:i/>
      <w:iCs/>
    </w:rPr>
  </w:style>
  <w:style w:type="character" w:styleId="SubtleReference">
    <w:name w:val="Subtle Reference"/>
    <w:basedOn w:val="DefaultParagraphFont"/>
    <w:uiPriority w:val="31"/>
    <w:qFormat/>
    <w:rsid w:val="000F3C29"/>
    <w:rPr>
      <w:smallCaps/>
    </w:rPr>
  </w:style>
  <w:style w:type="character" w:styleId="IntenseReference">
    <w:name w:val="Intense Reference"/>
    <w:uiPriority w:val="32"/>
    <w:qFormat/>
    <w:rsid w:val="000F3C29"/>
    <w:rPr>
      <w:b/>
      <w:bCs/>
      <w:smallCaps/>
    </w:rPr>
  </w:style>
  <w:style w:type="character" w:styleId="BookTitle">
    <w:name w:val="Book Title"/>
    <w:basedOn w:val="DefaultParagraphFont"/>
    <w:uiPriority w:val="33"/>
    <w:qFormat/>
    <w:rsid w:val="000F3C29"/>
    <w:rPr>
      <w:i/>
      <w:iCs/>
      <w:smallCaps/>
      <w:spacing w:val="5"/>
    </w:rPr>
  </w:style>
  <w:style w:type="paragraph" w:styleId="TOCHeading">
    <w:name w:val="TOC Heading"/>
    <w:basedOn w:val="Heading1"/>
    <w:next w:val="Normal"/>
    <w:uiPriority w:val="39"/>
    <w:semiHidden/>
    <w:unhideWhenUsed/>
    <w:qFormat/>
    <w:rsid w:val="000F3C29"/>
    <w:pPr>
      <w:outlineLvl w:val="9"/>
    </w:pPr>
  </w:style>
  <w:style w:type="paragraph" w:styleId="EndnoteText">
    <w:name w:val="endnote text"/>
    <w:basedOn w:val="Normal"/>
    <w:link w:val="EndnoteTextChar"/>
    <w:uiPriority w:val="99"/>
    <w:semiHidden/>
    <w:unhideWhenUsed/>
    <w:rsid w:val="008E0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0A08"/>
    <w:rPr>
      <w:sz w:val="20"/>
      <w:szCs w:val="20"/>
    </w:rPr>
  </w:style>
  <w:style w:type="character" w:styleId="EndnoteReference">
    <w:name w:val="endnote reference"/>
    <w:basedOn w:val="DefaultParagraphFont"/>
    <w:uiPriority w:val="99"/>
    <w:semiHidden/>
    <w:unhideWhenUsed/>
    <w:rsid w:val="008E0A08"/>
    <w:rPr>
      <w:vertAlign w:val="superscript"/>
    </w:rPr>
  </w:style>
  <w:style w:type="paragraph" w:styleId="HTMLPreformatted">
    <w:name w:val="HTML Preformatted"/>
    <w:basedOn w:val="Normal"/>
    <w:link w:val="HTMLPreformattedChar"/>
    <w:uiPriority w:val="99"/>
    <w:unhideWhenUsed/>
    <w:rsid w:val="0049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93F63"/>
    <w:rPr>
      <w:rFonts w:ascii="Courier New" w:eastAsia="Times New Roman" w:hAnsi="Courier New" w:cs="Courier New"/>
      <w:sz w:val="20"/>
      <w:szCs w:val="20"/>
      <w:lang w:bidi="ar-SA"/>
    </w:rPr>
  </w:style>
  <w:style w:type="character" w:customStyle="1" w:styleId="apple-converted-space">
    <w:name w:val="apple-converted-space"/>
    <w:basedOn w:val="DefaultParagraphFont"/>
    <w:rsid w:val="00A65D3D"/>
  </w:style>
  <w:style w:type="table" w:customStyle="1" w:styleId="LightGrid-Accent11">
    <w:name w:val="Light Grid - Accent 11"/>
    <w:basedOn w:val="TableNormal"/>
    <w:uiPriority w:val="62"/>
    <w:rsid w:val="00733C6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D95D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D95D9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1">
    <w:name w:val="Light List - Accent 11"/>
    <w:basedOn w:val="TableNormal"/>
    <w:uiPriority w:val="61"/>
    <w:rsid w:val="00D95D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31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313B"/>
    <w:rPr>
      <w:color w:val="808080"/>
    </w:rPr>
  </w:style>
  <w:style w:type="character" w:styleId="Hyperlink">
    <w:name w:val="Hyperlink"/>
    <w:basedOn w:val="DefaultParagraphFont"/>
    <w:uiPriority w:val="99"/>
    <w:unhideWhenUsed/>
    <w:rsid w:val="00D63606"/>
    <w:rPr>
      <w:color w:val="0000FF"/>
      <w:u w:val="single"/>
    </w:rPr>
  </w:style>
  <w:style w:type="paragraph" w:styleId="Revision">
    <w:name w:val="Revision"/>
    <w:hidden/>
    <w:uiPriority w:val="99"/>
    <w:semiHidden/>
    <w:rsid w:val="009C60FB"/>
    <w:pPr>
      <w:spacing w:after="0" w:line="240" w:lineRule="auto"/>
    </w:pPr>
  </w:style>
</w:styles>
</file>

<file path=word/webSettings.xml><?xml version="1.0" encoding="utf-8"?>
<w:webSettings xmlns:r="http://schemas.openxmlformats.org/officeDocument/2006/relationships" xmlns:w="http://schemas.openxmlformats.org/wordprocessingml/2006/main">
  <w:divs>
    <w:div w:id="78258027">
      <w:bodyDiv w:val="1"/>
      <w:marLeft w:val="0"/>
      <w:marRight w:val="0"/>
      <w:marTop w:val="0"/>
      <w:marBottom w:val="0"/>
      <w:divBdr>
        <w:top w:val="none" w:sz="0" w:space="0" w:color="auto"/>
        <w:left w:val="none" w:sz="0" w:space="0" w:color="auto"/>
        <w:bottom w:val="none" w:sz="0" w:space="0" w:color="auto"/>
        <w:right w:val="none" w:sz="0" w:space="0" w:color="auto"/>
      </w:divBdr>
    </w:div>
    <w:div w:id="108165210">
      <w:bodyDiv w:val="1"/>
      <w:marLeft w:val="0"/>
      <w:marRight w:val="0"/>
      <w:marTop w:val="0"/>
      <w:marBottom w:val="0"/>
      <w:divBdr>
        <w:top w:val="none" w:sz="0" w:space="0" w:color="auto"/>
        <w:left w:val="none" w:sz="0" w:space="0" w:color="auto"/>
        <w:bottom w:val="none" w:sz="0" w:space="0" w:color="auto"/>
        <w:right w:val="none" w:sz="0" w:space="0" w:color="auto"/>
      </w:divBdr>
    </w:div>
    <w:div w:id="273681825">
      <w:bodyDiv w:val="1"/>
      <w:marLeft w:val="0"/>
      <w:marRight w:val="0"/>
      <w:marTop w:val="0"/>
      <w:marBottom w:val="0"/>
      <w:divBdr>
        <w:top w:val="none" w:sz="0" w:space="0" w:color="auto"/>
        <w:left w:val="none" w:sz="0" w:space="0" w:color="auto"/>
        <w:bottom w:val="none" w:sz="0" w:space="0" w:color="auto"/>
        <w:right w:val="none" w:sz="0" w:space="0" w:color="auto"/>
      </w:divBdr>
    </w:div>
    <w:div w:id="561988395">
      <w:bodyDiv w:val="1"/>
      <w:marLeft w:val="0"/>
      <w:marRight w:val="0"/>
      <w:marTop w:val="0"/>
      <w:marBottom w:val="0"/>
      <w:divBdr>
        <w:top w:val="none" w:sz="0" w:space="0" w:color="auto"/>
        <w:left w:val="none" w:sz="0" w:space="0" w:color="auto"/>
        <w:bottom w:val="none" w:sz="0" w:space="0" w:color="auto"/>
        <w:right w:val="none" w:sz="0" w:space="0" w:color="auto"/>
      </w:divBdr>
    </w:div>
    <w:div w:id="570965063">
      <w:bodyDiv w:val="1"/>
      <w:marLeft w:val="0"/>
      <w:marRight w:val="0"/>
      <w:marTop w:val="0"/>
      <w:marBottom w:val="0"/>
      <w:divBdr>
        <w:top w:val="none" w:sz="0" w:space="0" w:color="auto"/>
        <w:left w:val="none" w:sz="0" w:space="0" w:color="auto"/>
        <w:bottom w:val="none" w:sz="0" w:space="0" w:color="auto"/>
        <w:right w:val="none" w:sz="0" w:space="0" w:color="auto"/>
      </w:divBdr>
    </w:div>
    <w:div w:id="578711096">
      <w:bodyDiv w:val="1"/>
      <w:marLeft w:val="0"/>
      <w:marRight w:val="0"/>
      <w:marTop w:val="0"/>
      <w:marBottom w:val="0"/>
      <w:divBdr>
        <w:top w:val="none" w:sz="0" w:space="0" w:color="auto"/>
        <w:left w:val="none" w:sz="0" w:space="0" w:color="auto"/>
        <w:bottom w:val="none" w:sz="0" w:space="0" w:color="auto"/>
        <w:right w:val="none" w:sz="0" w:space="0" w:color="auto"/>
      </w:divBdr>
    </w:div>
    <w:div w:id="633484584">
      <w:bodyDiv w:val="1"/>
      <w:marLeft w:val="0"/>
      <w:marRight w:val="0"/>
      <w:marTop w:val="0"/>
      <w:marBottom w:val="0"/>
      <w:divBdr>
        <w:top w:val="none" w:sz="0" w:space="0" w:color="auto"/>
        <w:left w:val="none" w:sz="0" w:space="0" w:color="auto"/>
        <w:bottom w:val="none" w:sz="0" w:space="0" w:color="auto"/>
        <w:right w:val="none" w:sz="0" w:space="0" w:color="auto"/>
      </w:divBdr>
    </w:div>
    <w:div w:id="699628493">
      <w:bodyDiv w:val="1"/>
      <w:marLeft w:val="0"/>
      <w:marRight w:val="0"/>
      <w:marTop w:val="0"/>
      <w:marBottom w:val="0"/>
      <w:divBdr>
        <w:top w:val="none" w:sz="0" w:space="0" w:color="auto"/>
        <w:left w:val="none" w:sz="0" w:space="0" w:color="auto"/>
        <w:bottom w:val="none" w:sz="0" w:space="0" w:color="auto"/>
        <w:right w:val="none" w:sz="0" w:space="0" w:color="auto"/>
      </w:divBdr>
    </w:div>
    <w:div w:id="740833260">
      <w:bodyDiv w:val="1"/>
      <w:marLeft w:val="0"/>
      <w:marRight w:val="0"/>
      <w:marTop w:val="0"/>
      <w:marBottom w:val="0"/>
      <w:divBdr>
        <w:top w:val="none" w:sz="0" w:space="0" w:color="auto"/>
        <w:left w:val="none" w:sz="0" w:space="0" w:color="auto"/>
        <w:bottom w:val="none" w:sz="0" w:space="0" w:color="auto"/>
        <w:right w:val="none" w:sz="0" w:space="0" w:color="auto"/>
      </w:divBdr>
    </w:div>
    <w:div w:id="770394992">
      <w:bodyDiv w:val="1"/>
      <w:marLeft w:val="0"/>
      <w:marRight w:val="0"/>
      <w:marTop w:val="0"/>
      <w:marBottom w:val="0"/>
      <w:divBdr>
        <w:top w:val="none" w:sz="0" w:space="0" w:color="auto"/>
        <w:left w:val="none" w:sz="0" w:space="0" w:color="auto"/>
        <w:bottom w:val="none" w:sz="0" w:space="0" w:color="auto"/>
        <w:right w:val="none" w:sz="0" w:space="0" w:color="auto"/>
      </w:divBdr>
    </w:div>
    <w:div w:id="832448873">
      <w:bodyDiv w:val="1"/>
      <w:marLeft w:val="0"/>
      <w:marRight w:val="0"/>
      <w:marTop w:val="0"/>
      <w:marBottom w:val="0"/>
      <w:divBdr>
        <w:top w:val="none" w:sz="0" w:space="0" w:color="auto"/>
        <w:left w:val="none" w:sz="0" w:space="0" w:color="auto"/>
        <w:bottom w:val="none" w:sz="0" w:space="0" w:color="auto"/>
        <w:right w:val="none" w:sz="0" w:space="0" w:color="auto"/>
      </w:divBdr>
    </w:div>
    <w:div w:id="850728050">
      <w:bodyDiv w:val="1"/>
      <w:marLeft w:val="0"/>
      <w:marRight w:val="0"/>
      <w:marTop w:val="0"/>
      <w:marBottom w:val="0"/>
      <w:divBdr>
        <w:top w:val="none" w:sz="0" w:space="0" w:color="auto"/>
        <w:left w:val="none" w:sz="0" w:space="0" w:color="auto"/>
        <w:bottom w:val="none" w:sz="0" w:space="0" w:color="auto"/>
        <w:right w:val="none" w:sz="0" w:space="0" w:color="auto"/>
      </w:divBdr>
    </w:div>
    <w:div w:id="883981126">
      <w:bodyDiv w:val="1"/>
      <w:marLeft w:val="0"/>
      <w:marRight w:val="0"/>
      <w:marTop w:val="0"/>
      <w:marBottom w:val="0"/>
      <w:divBdr>
        <w:top w:val="none" w:sz="0" w:space="0" w:color="auto"/>
        <w:left w:val="none" w:sz="0" w:space="0" w:color="auto"/>
        <w:bottom w:val="none" w:sz="0" w:space="0" w:color="auto"/>
        <w:right w:val="none" w:sz="0" w:space="0" w:color="auto"/>
      </w:divBdr>
    </w:div>
    <w:div w:id="922952070">
      <w:bodyDiv w:val="1"/>
      <w:marLeft w:val="0"/>
      <w:marRight w:val="0"/>
      <w:marTop w:val="0"/>
      <w:marBottom w:val="0"/>
      <w:divBdr>
        <w:top w:val="none" w:sz="0" w:space="0" w:color="auto"/>
        <w:left w:val="none" w:sz="0" w:space="0" w:color="auto"/>
        <w:bottom w:val="none" w:sz="0" w:space="0" w:color="auto"/>
        <w:right w:val="none" w:sz="0" w:space="0" w:color="auto"/>
      </w:divBdr>
      <w:divsChild>
        <w:div w:id="1657804064">
          <w:marLeft w:val="0"/>
          <w:marRight w:val="0"/>
          <w:marTop w:val="0"/>
          <w:marBottom w:val="0"/>
          <w:divBdr>
            <w:top w:val="none" w:sz="0" w:space="0" w:color="auto"/>
            <w:left w:val="none" w:sz="0" w:space="0" w:color="auto"/>
            <w:bottom w:val="none" w:sz="0" w:space="0" w:color="auto"/>
            <w:right w:val="none" w:sz="0" w:space="0" w:color="auto"/>
          </w:divBdr>
        </w:div>
        <w:div w:id="1949002887">
          <w:marLeft w:val="0"/>
          <w:marRight w:val="0"/>
          <w:marTop w:val="0"/>
          <w:marBottom w:val="0"/>
          <w:divBdr>
            <w:top w:val="none" w:sz="0" w:space="0" w:color="auto"/>
            <w:left w:val="none" w:sz="0" w:space="0" w:color="auto"/>
            <w:bottom w:val="none" w:sz="0" w:space="0" w:color="auto"/>
            <w:right w:val="none" w:sz="0" w:space="0" w:color="auto"/>
          </w:divBdr>
        </w:div>
        <w:div w:id="490490502">
          <w:marLeft w:val="0"/>
          <w:marRight w:val="0"/>
          <w:marTop w:val="0"/>
          <w:marBottom w:val="0"/>
          <w:divBdr>
            <w:top w:val="none" w:sz="0" w:space="0" w:color="auto"/>
            <w:left w:val="none" w:sz="0" w:space="0" w:color="auto"/>
            <w:bottom w:val="none" w:sz="0" w:space="0" w:color="auto"/>
            <w:right w:val="none" w:sz="0" w:space="0" w:color="auto"/>
          </w:divBdr>
        </w:div>
        <w:div w:id="133061289">
          <w:marLeft w:val="0"/>
          <w:marRight w:val="0"/>
          <w:marTop w:val="0"/>
          <w:marBottom w:val="0"/>
          <w:divBdr>
            <w:top w:val="none" w:sz="0" w:space="0" w:color="auto"/>
            <w:left w:val="none" w:sz="0" w:space="0" w:color="auto"/>
            <w:bottom w:val="none" w:sz="0" w:space="0" w:color="auto"/>
            <w:right w:val="none" w:sz="0" w:space="0" w:color="auto"/>
          </w:divBdr>
        </w:div>
        <w:div w:id="739671557">
          <w:marLeft w:val="0"/>
          <w:marRight w:val="0"/>
          <w:marTop w:val="0"/>
          <w:marBottom w:val="0"/>
          <w:divBdr>
            <w:top w:val="none" w:sz="0" w:space="0" w:color="auto"/>
            <w:left w:val="none" w:sz="0" w:space="0" w:color="auto"/>
            <w:bottom w:val="none" w:sz="0" w:space="0" w:color="auto"/>
            <w:right w:val="none" w:sz="0" w:space="0" w:color="auto"/>
          </w:divBdr>
        </w:div>
        <w:div w:id="749695365">
          <w:marLeft w:val="0"/>
          <w:marRight w:val="0"/>
          <w:marTop w:val="0"/>
          <w:marBottom w:val="0"/>
          <w:divBdr>
            <w:top w:val="none" w:sz="0" w:space="0" w:color="auto"/>
            <w:left w:val="none" w:sz="0" w:space="0" w:color="auto"/>
            <w:bottom w:val="none" w:sz="0" w:space="0" w:color="auto"/>
            <w:right w:val="none" w:sz="0" w:space="0" w:color="auto"/>
          </w:divBdr>
        </w:div>
        <w:div w:id="454179603">
          <w:marLeft w:val="0"/>
          <w:marRight w:val="0"/>
          <w:marTop w:val="0"/>
          <w:marBottom w:val="0"/>
          <w:divBdr>
            <w:top w:val="none" w:sz="0" w:space="0" w:color="auto"/>
            <w:left w:val="none" w:sz="0" w:space="0" w:color="auto"/>
            <w:bottom w:val="none" w:sz="0" w:space="0" w:color="auto"/>
            <w:right w:val="none" w:sz="0" w:space="0" w:color="auto"/>
          </w:divBdr>
        </w:div>
        <w:div w:id="1511212636">
          <w:marLeft w:val="0"/>
          <w:marRight w:val="0"/>
          <w:marTop w:val="0"/>
          <w:marBottom w:val="0"/>
          <w:divBdr>
            <w:top w:val="none" w:sz="0" w:space="0" w:color="auto"/>
            <w:left w:val="none" w:sz="0" w:space="0" w:color="auto"/>
            <w:bottom w:val="none" w:sz="0" w:space="0" w:color="auto"/>
            <w:right w:val="none" w:sz="0" w:space="0" w:color="auto"/>
          </w:divBdr>
        </w:div>
        <w:div w:id="1684281701">
          <w:marLeft w:val="0"/>
          <w:marRight w:val="0"/>
          <w:marTop w:val="0"/>
          <w:marBottom w:val="0"/>
          <w:divBdr>
            <w:top w:val="none" w:sz="0" w:space="0" w:color="auto"/>
            <w:left w:val="none" w:sz="0" w:space="0" w:color="auto"/>
            <w:bottom w:val="none" w:sz="0" w:space="0" w:color="auto"/>
            <w:right w:val="none" w:sz="0" w:space="0" w:color="auto"/>
          </w:divBdr>
        </w:div>
      </w:divsChild>
    </w:div>
    <w:div w:id="980305987">
      <w:bodyDiv w:val="1"/>
      <w:marLeft w:val="0"/>
      <w:marRight w:val="0"/>
      <w:marTop w:val="0"/>
      <w:marBottom w:val="0"/>
      <w:divBdr>
        <w:top w:val="none" w:sz="0" w:space="0" w:color="auto"/>
        <w:left w:val="none" w:sz="0" w:space="0" w:color="auto"/>
        <w:bottom w:val="none" w:sz="0" w:space="0" w:color="auto"/>
        <w:right w:val="none" w:sz="0" w:space="0" w:color="auto"/>
      </w:divBdr>
      <w:divsChild>
        <w:div w:id="119997525">
          <w:marLeft w:val="0"/>
          <w:marRight w:val="0"/>
          <w:marTop w:val="0"/>
          <w:marBottom w:val="0"/>
          <w:divBdr>
            <w:top w:val="none" w:sz="0" w:space="0" w:color="auto"/>
            <w:left w:val="none" w:sz="0" w:space="0" w:color="auto"/>
            <w:bottom w:val="none" w:sz="0" w:space="0" w:color="auto"/>
            <w:right w:val="none" w:sz="0" w:space="0" w:color="auto"/>
          </w:divBdr>
        </w:div>
        <w:div w:id="993531633">
          <w:marLeft w:val="0"/>
          <w:marRight w:val="0"/>
          <w:marTop w:val="0"/>
          <w:marBottom w:val="0"/>
          <w:divBdr>
            <w:top w:val="none" w:sz="0" w:space="0" w:color="auto"/>
            <w:left w:val="none" w:sz="0" w:space="0" w:color="auto"/>
            <w:bottom w:val="none" w:sz="0" w:space="0" w:color="auto"/>
            <w:right w:val="none" w:sz="0" w:space="0" w:color="auto"/>
          </w:divBdr>
        </w:div>
        <w:div w:id="656423930">
          <w:marLeft w:val="0"/>
          <w:marRight w:val="0"/>
          <w:marTop w:val="0"/>
          <w:marBottom w:val="0"/>
          <w:divBdr>
            <w:top w:val="none" w:sz="0" w:space="0" w:color="auto"/>
            <w:left w:val="none" w:sz="0" w:space="0" w:color="auto"/>
            <w:bottom w:val="none" w:sz="0" w:space="0" w:color="auto"/>
            <w:right w:val="none" w:sz="0" w:space="0" w:color="auto"/>
          </w:divBdr>
        </w:div>
        <w:div w:id="2067562243">
          <w:marLeft w:val="0"/>
          <w:marRight w:val="0"/>
          <w:marTop w:val="0"/>
          <w:marBottom w:val="0"/>
          <w:divBdr>
            <w:top w:val="none" w:sz="0" w:space="0" w:color="auto"/>
            <w:left w:val="none" w:sz="0" w:space="0" w:color="auto"/>
            <w:bottom w:val="none" w:sz="0" w:space="0" w:color="auto"/>
            <w:right w:val="none" w:sz="0" w:space="0" w:color="auto"/>
          </w:divBdr>
        </w:div>
      </w:divsChild>
    </w:div>
    <w:div w:id="1268738150">
      <w:bodyDiv w:val="1"/>
      <w:marLeft w:val="0"/>
      <w:marRight w:val="0"/>
      <w:marTop w:val="0"/>
      <w:marBottom w:val="0"/>
      <w:divBdr>
        <w:top w:val="none" w:sz="0" w:space="0" w:color="auto"/>
        <w:left w:val="none" w:sz="0" w:space="0" w:color="auto"/>
        <w:bottom w:val="none" w:sz="0" w:space="0" w:color="auto"/>
        <w:right w:val="none" w:sz="0" w:space="0" w:color="auto"/>
      </w:divBdr>
    </w:div>
    <w:div w:id="1384330985">
      <w:bodyDiv w:val="1"/>
      <w:marLeft w:val="0"/>
      <w:marRight w:val="0"/>
      <w:marTop w:val="0"/>
      <w:marBottom w:val="0"/>
      <w:divBdr>
        <w:top w:val="none" w:sz="0" w:space="0" w:color="auto"/>
        <w:left w:val="none" w:sz="0" w:space="0" w:color="auto"/>
        <w:bottom w:val="none" w:sz="0" w:space="0" w:color="auto"/>
        <w:right w:val="none" w:sz="0" w:space="0" w:color="auto"/>
      </w:divBdr>
    </w:div>
    <w:div w:id="1412891748">
      <w:bodyDiv w:val="1"/>
      <w:marLeft w:val="0"/>
      <w:marRight w:val="0"/>
      <w:marTop w:val="0"/>
      <w:marBottom w:val="0"/>
      <w:divBdr>
        <w:top w:val="none" w:sz="0" w:space="0" w:color="auto"/>
        <w:left w:val="none" w:sz="0" w:space="0" w:color="auto"/>
        <w:bottom w:val="none" w:sz="0" w:space="0" w:color="auto"/>
        <w:right w:val="none" w:sz="0" w:space="0" w:color="auto"/>
      </w:divBdr>
    </w:div>
    <w:div w:id="1740052885">
      <w:bodyDiv w:val="1"/>
      <w:marLeft w:val="0"/>
      <w:marRight w:val="0"/>
      <w:marTop w:val="0"/>
      <w:marBottom w:val="0"/>
      <w:divBdr>
        <w:top w:val="none" w:sz="0" w:space="0" w:color="auto"/>
        <w:left w:val="none" w:sz="0" w:space="0" w:color="auto"/>
        <w:bottom w:val="none" w:sz="0" w:space="0" w:color="auto"/>
        <w:right w:val="none" w:sz="0" w:space="0" w:color="auto"/>
      </w:divBdr>
    </w:div>
    <w:div w:id="1813861844">
      <w:bodyDiv w:val="1"/>
      <w:marLeft w:val="0"/>
      <w:marRight w:val="0"/>
      <w:marTop w:val="0"/>
      <w:marBottom w:val="0"/>
      <w:divBdr>
        <w:top w:val="none" w:sz="0" w:space="0" w:color="auto"/>
        <w:left w:val="none" w:sz="0" w:space="0" w:color="auto"/>
        <w:bottom w:val="none" w:sz="0" w:space="0" w:color="auto"/>
        <w:right w:val="none" w:sz="0" w:space="0" w:color="auto"/>
      </w:divBdr>
    </w:div>
    <w:div w:id="1862350616">
      <w:bodyDiv w:val="1"/>
      <w:marLeft w:val="0"/>
      <w:marRight w:val="0"/>
      <w:marTop w:val="0"/>
      <w:marBottom w:val="0"/>
      <w:divBdr>
        <w:top w:val="none" w:sz="0" w:space="0" w:color="auto"/>
        <w:left w:val="none" w:sz="0" w:space="0" w:color="auto"/>
        <w:bottom w:val="none" w:sz="0" w:space="0" w:color="auto"/>
        <w:right w:val="none" w:sz="0" w:space="0" w:color="auto"/>
      </w:divBdr>
    </w:div>
    <w:div w:id="1869174335">
      <w:bodyDiv w:val="1"/>
      <w:marLeft w:val="0"/>
      <w:marRight w:val="0"/>
      <w:marTop w:val="0"/>
      <w:marBottom w:val="0"/>
      <w:divBdr>
        <w:top w:val="none" w:sz="0" w:space="0" w:color="auto"/>
        <w:left w:val="none" w:sz="0" w:space="0" w:color="auto"/>
        <w:bottom w:val="none" w:sz="0" w:space="0" w:color="auto"/>
        <w:right w:val="none" w:sz="0" w:space="0" w:color="auto"/>
      </w:divBdr>
    </w:div>
    <w:div w:id="1898591693">
      <w:bodyDiv w:val="1"/>
      <w:marLeft w:val="0"/>
      <w:marRight w:val="0"/>
      <w:marTop w:val="0"/>
      <w:marBottom w:val="0"/>
      <w:divBdr>
        <w:top w:val="none" w:sz="0" w:space="0" w:color="auto"/>
        <w:left w:val="none" w:sz="0" w:space="0" w:color="auto"/>
        <w:bottom w:val="none" w:sz="0" w:space="0" w:color="auto"/>
        <w:right w:val="none" w:sz="0" w:space="0" w:color="auto"/>
      </w:divBdr>
    </w:div>
    <w:div w:id="1910311031">
      <w:bodyDiv w:val="1"/>
      <w:marLeft w:val="0"/>
      <w:marRight w:val="0"/>
      <w:marTop w:val="0"/>
      <w:marBottom w:val="0"/>
      <w:divBdr>
        <w:top w:val="none" w:sz="0" w:space="0" w:color="auto"/>
        <w:left w:val="none" w:sz="0" w:space="0" w:color="auto"/>
        <w:bottom w:val="none" w:sz="0" w:space="0" w:color="auto"/>
        <w:right w:val="none" w:sz="0" w:space="0" w:color="auto"/>
      </w:divBdr>
    </w:div>
    <w:div w:id="1914311475">
      <w:bodyDiv w:val="1"/>
      <w:marLeft w:val="0"/>
      <w:marRight w:val="0"/>
      <w:marTop w:val="0"/>
      <w:marBottom w:val="0"/>
      <w:divBdr>
        <w:top w:val="none" w:sz="0" w:space="0" w:color="auto"/>
        <w:left w:val="none" w:sz="0" w:space="0" w:color="auto"/>
        <w:bottom w:val="none" w:sz="0" w:space="0" w:color="auto"/>
        <w:right w:val="none" w:sz="0" w:space="0" w:color="auto"/>
      </w:divBdr>
    </w:div>
    <w:div w:id="1931040441">
      <w:bodyDiv w:val="1"/>
      <w:marLeft w:val="0"/>
      <w:marRight w:val="0"/>
      <w:marTop w:val="0"/>
      <w:marBottom w:val="0"/>
      <w:divBdr>
        <w:top w:val="none" w:sz="0" w:space="0" w:color="auto"/>
        <w:left w:val="none" w:sz="0" w:space="0" w:color="auto"/>
        <w:bottom w:val="none" w:sz="0" w:space="0" w:color="auto"/>
        <w:right w:val="none" w:sz="0" w:space="0" w:color="auto"/>
      </w:divBdr>
    </w:div>
    <w:div w:id="1989479027">
      <w:bodyDiv w:val="1"/>
      <w:marLeft w:val="0"/>
      <w:marRight w:val="0"/>
      <w:marTop w:val="0"/>
      <w:marBottom w:val="0"/>
      <w:divBdr>
        <w:top w:val="none" w:sz="0" w:space="0" w:color="auto"/>
        <w:left w:val="none" w:sz="0" w:space="0" w:color="auto"/>
        <w:bottom w:val="none" w:sz="0" w:space="0" w:color="auto"/>
        <w:right w:val="none" w:sz="0" w:space="0" w:color="auto"/>
      </w:divBdr>
    </w:div>
    <w:div w:id="2017657015">
      <w:bodyDiv w:val="1"/>
      <w:marLeft w:val="0"/>
      <w:marRight w:val="0"/>
      <w:marTop w:val="0"/>
      <w:marBottom w:val="0"/>
      <w:divBdr>
        <w:top w:val="none" w:sz="0" w:space="0" w:color="auto"/>
        <w:left w:val="none" w:sz="0" w:space="0" w:color="auto"/>
        <w:bottom w:val="none" w:sz="0" w:space="0" w:color="auto"/>
        <w:right w:val="none" w:sz="0" w:space="0" w:color="auto"/>
      </w:divBdr>
    </w:div>
    <w:div w:id="2034574158">
      <w:bodyDiv w:val="1"/>
      <w:marLeft w:val="0"/>
      <w:marRight w:val="0"/>
      <w:marTop w:val="0"/>
      <w:marBottom w:val="0"/>
      <w:divBdr>
        <w:top w:val="none" w:sz="0" w:space="0" w:color="auto"/>
        <w:left w:val="none" w:sz="0" w:space="0" w:color="auto"/>
        <w:bottom w:val="none" w:sz="0" w:space="0" w:color="auto"/>
        <w:right w:val="none" w:sz="0" w:space="0" w:color="auto"/>
      </w:divBdr>
      <w:divsChild>
        <w:div w:id="1890145772">
          <w:marLeft w:val="0"/>
          <w:marRight w:val="0"/>
          <w:marTop w:val="0"/>
          <w:marBottom w:val="0"/>
          <w:divBdr>
            <w:top w:val="none" w:sz="0" w:space="0" w:color="auto"/>
            <w:left w:val="none" w:sz="0" w:space="0" w:color="auto"/>
            <w:bottom w:val="none" w:sz="0" w:space="0" w:color="auto"/>
            <w:right w:val="none" w:sz="0" w:space="0" w:color="auto"/>
          </w:divBdr>
        </w:div>
        <w:div w:id="1324620353">
          <w:marLeft w:val="0"/>
          <w:marRight w:val="0"/>
          <w:marTop w:val="0"/>
          <w:marBottom w:val="0"/>
          <w:divBdr>
            <w:top w:val="none" w:sz="0" w:space="0" w:color="auto"/>
            <w:left w:val="none" w:sz="0" w:space="0" w:color="auto"/>
            <w:bottom w:val="none" w:sz="0" w:space="0" w:color="auto"/>
            <w:right w:val="none" w:sz="0" w:space="0" w:color="auto"/>
          </w:divBdr>
        </w:div>
        <w:div w:id="1054962689">
          <w:marLeft w:val="0"/>
          <w:marRight w:val="0"/>
          <w:marTop w:val="0"/>
          <w:marBottom w:val="0"/>
          <w:divBdr>
            <w:top w:val="none" w:sz="0" w:space="0" w:color="auto"/>
            <w:left w:val="none" w:sz="0" w:space="0" w:color="auto"/>
            <w:bottom w:val="none" w:sz="0" w:space="0" w:color="auto"/>
            <w:right w:val="none" w:sz="0" w:space="0" w:color="auto"/>
          </w:divBdr>
        </w:div>
        <w:div w:id="2001495728">
          <w:marLeft w:val="0"/>
          <w:marRight w:val="0"/>
          <w:marTop w:val="0"/>
          <w:marBottom w:val="0"/>
          <w:divBdr>
            <w:top w:val="none" w:sz="0" w:space="0" w:color="auto"/>
            <w:left w:val="none" w:sz="0" w:space="0" w:color="auto"/>
            <w:bottom w:val="none" w:sz="0" w:space="0" w:color="auto"/>
            <w:right w:val="none" w:sz="0" w:space="0" w:color="auto"/>
          </w:divBdr>
        </w:div>
        <w:div w:id="460222219">
          <w:marLeft w:val="0"/>
          <w:marRight w:val="0"/>
          <w:marTop w:val="0"/>
          <w:marBottom w:val="0"/>
          <w:divBdr>
            <w:top w:val="none" w:sz="0" w:space="0" w:color="auto"/>
            <w:left w:val="none" w:sz="0" w:space="0" w:color="auto"/>
            <w:bottom w:val="none" w:sz="0" w:space="0" w:color="auto"/>
            <w:right w:val="none" w:sz="0" w:space="0" w:color="auto"/>
          </w:divBdr>
        </w:div>
        <w:div w:id="518201919">
          <w:marLeft w:val="0"/>
          <w:marRight w:val="0"/>
          <w:marTop w:val="0"/>
          <w:marBottom w:val="0"/>
          <w:divBdr>
            <w:top w:val="none" w:sz="0" w:space="0" w:color="auto"/>
            <w:left w:val="none" w:sz="0" w:space="0" w:color="auto"/>
            <w:bottom w:val="none" w:sz="0" w:space="0" w:color="auto"/>
            <w:right w:val="none" w:sz="0" w:space="0" w:color="auto"/>
          </w:divBdr>
        </w:div>
        <w:div w:id="1667433988">
          <w:marLeft w:val="0"/>
          <w:marRight w:val="0"/>
          <w:marTop w:val="0"/>
          <w:marBottom w:val="0"/>
          <w:divBdr>
            <w:top w:val="none" w:sz="0" w:space="0" w:color="auto"/>
            <w:left w:val="none" w:sz="0" w:space="0" w:color="auto"/>
            <w:bottom w:val="none" w:sz="0" w:space="0" w:color="auto"/>
            <w:right w:val="none" w:sz="0" w:space="0" w:color="auto"/>
          </w:divBdr>
        </w:div>
        <w:div w:id="1467966251">
          <w:marLeft w:val="0"/>
          <w:marRight w:val="0"/>
          <w:marTop w:val="0"/>
          <w:marBottom w:val="0"/>
          <w:divBdr>
            <w:top w:val="none" w:sz="0" w:space="0" w:color="auto"/>
            <w:left w:val="none" w:sz="0" w:space="0" w:color="auto"/>
            <w:bottom w:val="none" w:sz="0" w:space="0" w:color="auto"/>
            <w:right w:val="none" w:sz="0" w:space="0" w:color="auto"/>
          </w:divBdr>
        </w:div>
        <w:div w:id="15818368">
          <w:marLeft w:val="0"/>
          <w:marRight w:val="0"/>
          <w:marTop w:val="0"/>
          <w:marBottom w:val="0"/>
          <w:divBdr>
            <w:top w:val="none" w:sz="0" w:space="0" w:color="auto"/>
            <w:left w:val="none" w:sz="0" w:space="0" w:color="auto"/>
            <w:bottom w:val="none" w:sz="0" w:space="0" w:color="auto"/>
            <w:right w:val="none" w:sz="0" w:space="0" w:color="auto"/>
          </w:divBdr>
        </w:div>
      </w:divsChild>
    </w:div>
    <w:div w:id="20636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as.repec.org/a/eee/ecolet/v82y2004i2p275-280.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ideas.repec.org/s/eee/ecolet.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lesslerj\My%20Documents\Dropbox\MICHIGAN\pension%20profile%20for%20ages%2025-6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lesslerj\My%20Documents\Dropbox\MICHIGAN\pension%20profile%20for%20ages%2025-6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lesslerj\My%20Documents\Dropbox\MICHIGAN\pension%20profile%20for%20ages%2025-6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Figure 1: Pension sponsorship and participation in the CPS</a:t>
            </a:r>
          </a:p>
        </c:rich>
      </c:tx>
    </c:title>
    <c:plotArea>
      <c:layout/>
      <c:lineChart>
        <c:grouping val="standard"/>
        <c:ser>
          <c:idx val="1"/>
          <c:order val="0"/>
          <c:tx>
            <c:strRef>
              <c:f>Sheet2!$B$28</c:f>
              <c:strCache>
                <c:ptCount val="1"/>
                <c:pt idx="0">
                  <c:v>CPS Sponsorship rate</c:v>
                </c:pt>
              </c:strCache>
            </c:strRef>
          </c:tx>
          <c:cat>
            <c:numRef>
              <c:f>Sheet2!$A$29:$A$61</c:f>
              <c:numCache>
                <c:formatCode>General</c:formatCode>
                <c:ptCount val="3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numCache>
            </c:numRef>
          </c:cat>
          <c:val>
            <c:numRef>
              <c:f>Sheet2!$B$29:$B$61</c:f>
              <c:numCache>
                <c:formatCode>0%</c:formatCode>
                <c:ptCount val="33"/>
                <c:pt idx="0">
                  <c:v>0.5766025038410405</c:v>
                </c:pt>
                <c:pt idx="1">
                  <c:v>0.57567054165684561</c:v>
                </c:pt>
                <c:pt idx="2">
                  <c:v>0.57070118411738102</c:v>
                </c:pt>
                <c:pt idx="3">
                  <c:v>0.55950210955868096</c:v>
                </c:pt>
                <c:pt idx="4">
                  <c:v>0.55994664738055455</c:v>
                </c:pt>
                <c:pt idx="5">
                  <c:v>0.550037062817191</c:v>
                </c:pt>
                <c:pt idx="6">
                  <c:v>0.55521849199360007</c:v>
                </c:pt>
                <c:pt idx="7">
                  <c:v>0.551345305477003</c:v>
                </c:pt>
                <c:pt idx="8">
                  <c:v>0.54597083102232802</c:v>
                </c:pt>
                <c:pt idx="9">
                  <c:v>0.549062486308453</c:v>
                </c:pt>
                <c:pt idx="10">
                  <c:v>0.55526649278346396</c:v>
                </c:pt>
                <c:pt idx="11">
                  <c:v>0.56193742739975905</c:v>
                </c:pt>
                <c:pt idx="12">
                  <c:v>0.56545016689183558</c:v>
                </c:pt>
                <c:pt idx="13">
                  <c:v>0.56874355813115962</c:v>
                </c:pt>
                <c:pt idx="14">
                  <c:v>0.55476197321809384</c:v>
                </c:pt>
                <c:pt idx="15">
                  <c:v>0.58623531137850371</c:v>
                </c:pt>
                <c:pt idx="16">
                  <c:v>0.579253163069403</c:v>
                </c:pt>
                <c:pt idx="17">
                  <c:v>0.59589979417708672</c:v>
                </c:pt>
                <c:pt idx="18">
                  <c:v>0.59356957484955208</c:v>
                </c:pt>
                <c:pt idx="19">
                  <c:v>0.61290609654115602</c:v>
                </c:pt>
                <c:pt idx="20">
                  <c:v>0.61229615651091562</c:v>
                </c:pt>
                <c:pt idx="21">
                  <c:v>0.614454325375699</c:v>
                </c:pt>
                <c:pt idx="22">
                  <c:v>0.60419260216755555</c:v>
                </c:pt>
                <c:pt idx="23">
                  <c:v>0.58029466393503659</c:v>
                </c:pt>
                <c:pt idx="24">
                  <c:v>0.58352009672793237</c:v>
                </c:pt>
                <c:pt idx="25">
                  <c:v>0.57835842393245696</c:v>
                </c:pt>
                <c:pt idx="26">
                  <c:v>0.56137946769880953</c:v>
                </c:pt>
                <c:pt idx="27">
                  <c:v>0.54095607152220049</c:v>
                </c:pt>
                <c:pt idx="28">
                  <c:v>0.56310357795758204</c:v>
                </c:pt>
                <c:pt idx="29">
                  <c:v>0.54930944819656302</c:v>
                </c:pt>
                <c:pt idx="30">
                  <c:v>0.53304037306896301</c:v>
                </c:pt>
                <c:pt idx="31">
                  <c:v>0.53278665441714401</c:v>
                </c:pt>
                <c:pt idx="32">
                  <c:v>0.53044159018147363</c:v>
                </c:pt>
              </c:numCache>
            </c:numRef>
          </c:val>
        </c:ser>
        <c:ser>
          <c:idx val="2"/>
          <c:order val="1"/>
          <c:tx>
            <c:strRef>
              <c:f>Sheet2!$C$28</c:f>
              <c:strCache>
                <c:ptCount val="1"/>
                <c:pt idx="0">
                  <c:v>CPS Participation rate</c:v>
                </c:pt>
              </c:strCache>
            </c:strRef>
          </c:tx>
          <c:cat>
            <c:numRef>
              <c:f>Sheet2!$A$29:$A$61</c:f>
              <c:numCache>
                <c:formatCode>General</c:formatCode>
                <c:ptCount val="3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numCache>
            </c:numRef>
          </c:cat>
          <c:val>
            <c:numRef>
              <c:f>Sheet2!$C$29:$C$61</c:f>
              <c:numCache>
                <c:formatCode>0%</c:formatCode>
                <c:ptCount val="33"/>
                <c:pt idx="0">
                  <c:v>0.51641232037194607</c:v>
                </c:pt>
                <c:pt idx="1">
                  <c:v>0.5127393297796411</c:v>
                </c:pt>
                <c:pt idx="2">
                  <c:v>0.50715382565279399</c:v>
                </c:pt>
                <c:pt idx="3">
                  <c:v>0.49619314973255801</c:v>
                </c:pt>
                <c:pt idx="4">
                  <c:v>0.49259015501346831</c:v>
                </c:pt>
                <c:pt idx="5">
                  <c:v>0.48241465495245289</c:v>
                </c:pt>
                <c:pt idx="6">
                  <c:v>0.48339327000360632</c:v>
                </c:pt>
                <c:pt idx="7">
                  <c:v>0.47850156222819501</c:v>
                </c:pt>
                <c:pt idx="8">
                  <c:v>0.45628164257618709</c:v>
                </c:pt>
                <c:pt idx="9">
                  <c:v>0.45767401293453008</c:v>
                </c:pt>
                <c:pt idx="10">
                  <c:v>0.46874393752039473</c:v>
                </c:pt>
                <c:pt idx="11">
                  <c:v>0.46732634361606146</c:v>
                </c:pt>
                <c:pt idx="12">
                  <c:v>0.47219474775088832</c:v>
                </c:pt>
                <c:pt idx="13">
                  <c:v>0.47015096064376438</c:v>
                </c:pt>
                <c:pt idx="14">
                  <c:v>0.46261098853983945</c:v>
                </c:pt>
                <c:pt idx="15">
                  <c:v>0.48548602170329463</c:v>
                </c:pt>
                <c:pt idx="16">
                  <c:v>0.48317686522534625</c:v>
                </c:pt>
                <c:pt idx="17">
                  <c:v>0.49259791671184838</c:v>
                </c:pt>
                <c:pt idx="18">
                  <c:v>0.49064640691909145</c:v>
                </c:pt>
                <c:pt idx="19">
                  <c:v>0.51147918328409203</c:v>
                </c:pt>
                <c:pt idx="20">
                  <c:v>0.51579611081341403</c:v>
                </c:pt>
                <c:pt idx="21">
                  <c:v>0.51458386442548298</c:v>
                </c:pt>
                <c:pt idx="22">
                  <c:v>0.50251769345434649</c:v>
                </c:pt>
                <c:pt idx="23">
                  <c:v>0.48424113565615873</c:v>
                </c:pt>
                <c:pt idx="24">
                  <c:v>0.48859121940135875</c:v>
                </c:pt>
                <c:pt idx="25">
                  <c:v>0.48474942455730374</c:v>
                </c:pt>
                <c:pt idx="26">
                  <c:v>0.47217058808231732</c:v>
                </c:pt>
                <c:pt idx="27">
                  <c:v>0.45449716384379202</c:v>
                </c:pt>
                <c:pt idx="28">
                  <c:v>0.47609487461525563</c:v>
                </c:pt>
                <c:pt idx="29">
                  <c:v>0.46215663795809431</c:v>
                </c:pt>
                <c:pt idx="30">
                  <c:v>0.44956799136035624</c:v>
                </c:pt>
                <c:pt idx="31">
                  <c:v>0.45211233099936832</c:v>
                </c:pt>
                <c:pt idx="32">
                  <c:v>0.45123497369198901</c:v>
                </c:pt>
              </c:numCache>
            </c:numRef>
          </c:val>
        </c:ser>
        <c:marker val="1"/>
        <c:axId val="70583808"/>
        <c:axId val="70905856"/>
      </c:lineChart>
      <c:catAx>
        <c:axId val="70583808"/>
        <c:scaling>
          <c:orientation val="minMax"/>
        </c:scaling>
        <c:axPos val="b"/>
        <c:numFmt formatCode="General" sourceLinked="1"/>
        <c:tickLblPos val="nextTo"/>
        <c:crossAx val="70905856"/>
        <c:crosses val="autoZero"/>
        <c:auto val="1"/>
        <c:lblAlgn val="ctr"/>
        <c:lblOffset val="100"/>
      </c:catAx>
      <c:valAx>
        <c:axId val="70905856"/>
        <c:scaling>
          <c:orientation val="minMax"/>
          <c:min val="0.4"/>
        </c:scaling>
        <c:axPos val="l"/>
        <c:majorGridlines/>
        <c:numFmt formatCode="0%" sourceLinked="1"/>
        <c:tickLblPos val="nextTo"/>
        <c:crossAx val="7058380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en-US" sz="1200"/>
              <a:t>Figure 2: SCF pension participation</a:t>
            </a:r>
          </a:p>
        </c:rich>
      </c:tx>
    </c:title>
    <c:plotArea>
      <c:layout/>
      <c:lineChart>
        <c:grouping val="standard"/>
        <c:ser>
          <c:idx val="1"/>
          <c:order val="0"/>
          <c:tx>
            <c:strRef>
              <c:f>Sheet2!$B$2</c:f>
              <c:strCache>
                <c:ptCount val="1"/>
                <c:pt idx="0">
                  <c:v>SCF pension availability</c:v>
                </c:pt>
              </c:strCache>
            </c:strRef>
          </c:tx>
          <c:cat>
            <c:numRef>
              <c:f>Sheet2!$A$3:$A$10</c:f>
              <c:numCache>
                <c:formatCode>General</c:formatCode>
                <c:ptCount val="8"/>
                <c:pt idx="0">
                  <c:v>1989</c:v>
                </c:pt>
                <c:pt idx="1">
                  <c:v>1992</c:v>
                </c:pt>
                <c:pt idx="2">
                  <c:v>1995</c:v>
                </c:pt>
                <c:pt idx="3">
                  <c:v>1998</c:v>
                </c:pt>
                <c:pt idx="4">
                  <c:v>2001</c:v>
                </c:pt>
                <c:pt idx="5">
                  <c:v>2004</c:v>
                </c:pt>
                <c:pt idx="6">
                  <c:v>2007</c:v>
                </c:pt>
                <c:pt idx="7">
                  <c:v>2010</c:v>
                </c:pt>
              </c:numCache>
            </c:numRef>
          </c:cat>
          <c:val>
            <c:numRef>
              <c:f>Sheet2!$B$3:$B$10</c:f>
              <c:numCache>
                <c:formatCode>0%</c:formatCode>
                <c:ptCount val="8"/>
                <c:pt idx="0">
                  <c:v>0.6067000000000059</c:v>
                </c:pt>
                <c:pt idx="1">
                  <c:v>0.60800000000000265</c:v>
                </c:pt>
                <c:pt idx="2">
                  <c:v>0.62140000000000262</c:v>
                </c:pt>
                <c:pt idx="3">
                  <c:v>0.61610000000000265</c:v>
                </c:pt>
                <c:pt idx="4">
                  <c:v>0.61450000000000005</c:v>
                </c:pt>
                <c:pt idx="5">
                  <c:v>0.60010000000000263</c:v>
                </c:pt>
                <c:pt idx="6">
                  <c:v>0.60150000000000003</c:v>
                </c:pt>
                <c:pt idx="7">
                  <c:v>0.56570000000000265</c:v>
                </c:pt>
              </c:numCache>
            </c:numRef>
          </c:val>
        </c:ser>
        <c:marker val="1"/>
        <c:axId val="104999168"/>
        <c:axId val="106107264"/>
      </c:lineChart>
      <c:catAx>
        <c:axId val="104999168"/>
        <c:scaling>
          <c:orientation val="minMax"/>
        </c:scaling>
        <c:axPos val="b"/>
        <c:numFmt formatCode="General" sourceLinked="1"/>
        <c:tickLblPos val="nextTo"/>
        <c:txPr>
          <a:bodyPr rot="-5400000" vert="horz"/>
          <a:lstStyle/>
          <a:p>
            <a:pPr>
              <a:defRPr/>
            </a:pPr>
            <a:endParaRPr lang="en-US"/>
          </a:p>
        </c:txPr>
        <c:crossAx val="106107264"/>
        <c:crosses val="autoZero"/>
        <c:auto val="1"/>
        <c:lblAlgn val="ctr"/>
        <c:lblOffset val="100"/>
      </c:catAx>
      <c:valAx>
        <c:axId val="106107264"/>
        <c:scaling>
          <c:orientation val="minMax"/>
          <c:min val="0.54"/>
        </c:scaling>
        <c:axPos val="l"/>
        <c:majorGridlines/>
        <c:numFmt formatCode="0%" sourceLinked="1"/>
        <c:tickLblPos val="nextTo"/>
        <c:crossAx val="10499916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Figure 3: Pension Participation in the HRS</a:t>
            </a:r>
          </a:p>
        </c:rich>
      </c:tx>
    </c:title>
    <c:plotArea>
      <c:layout>
        <c:manualLayout>
          <c:layoutTarget val="inner"/>
          <c:xMode val="edge"/>
          <c:yMode val="edge"/>
          <c:x val="0.13590557653782878"/>
          <c:y val="0.25419601571212574"/>
          <c:w val="0.81888275063027804"/>
          <c:h val="0.51213479539887763"/>
        </c:manualLayout>
      </c:layout>
      <c:lineChart>
        <c:grouping val="standard"/>
        <c:ser>
          <c:idx val="1"/>
          <c:order val="0"/>
          <c:tx>
            <c:strRef>
              <c:f>Sheet2!$B$15</c:f>
              <c:strCache>
                <c:ptCount val="1"/>
                <c:pt idx="0">
                  <c:v>HRS sponsorship for 51+</c:v>
                </c:pt>
              </c:strCache>
            </c:strRef>
          </c:tx>
          <c:cat>
            <c:numRef>
              <c:f>Sheet2!$A$16:$A$25</c:f>
              <c:numCache>
                <c:formatCode>General</c:formatCode>
                <c:ptCount val="10"/>
                <c:pt idx="0">
                  <c:v>1992</c:v>
                </c:pt>
                <c:pt idx="1">
                  <c:v>1994</c:v>
                </c:pt>
                <c:pt idx="2">
                  <c:v>1996</c:v>
                </c:pt>
                <c:pt idx="3">
                  <c:v>1998</c:v>
                </c:pt>
                <c:pt idx="4">
                  <c:v>2000</c:v>
                </c:pt>
                <c:pt idx="5">
                  <c:v>2002</c:v>
                </c:pt>
                <c:pt idx="6">
                  <c:v>2004</c:v>
                </c:pt>
                <c:pt idx="7">
                  <c:v>2006</c:v>
                </c:pt>
                <c:pt idx="8">
                  <c:v>2008</c:v>
                </c:pt>
                <c:pt idx="9">
                  <c:v>2010</c:v>
                </c:pt>
              </c:numCache>
            </c:numRef>
          </c:cat>
          <c:val>
            <c:numRef>
              <c:f>Sheet2!$B$16:$B$25</c:f>
              <c:numCache>
                <c:formatCode>0%</c:formatCode>
                <c:ptCount val="10"/>
                <c:pt idx="0">
                  <c:v>0.55580000000000263</c:v>
                </c:pt>
                <c:pt idx="1">
                  <c:v>0.55370000000000263</c:v>
                </c:pt>
                <c:pt idx="2">
                  <c:v>0.53749999999999998</c:v>
                </c:pt>
                <c:pt idx="3">
                  <c:v>0.56920000000000004</c:v>
                </c:pt>
                <c:pt idx="4">
                  <c:v>0.5911999999999995</c:v>
                </c:pt>
                <c:pt idx="5">
                  <c:v>0.57330000000000003</c:v>
                </c:pt>
                <c:pt idx="6">
                  <c:v>0.5800999999999995</c:v>
                </c:pt>
                <c:pt idx="7">
                  <c:v>0.55610000000000004</c:v>
                </c:pt>
                <c:pt idx="8">
                  <c:v>0.57760000000000566</c:v>
                </c:pt>
                <c:pt idx="9">
                  <c:v>0.53490000000000004</c:v>
                </c:pt>
              </c:numCache>
            </c:numRef>
          </c:val>
        </c:ser>
        <c:marker val="1"/>
        <c:axId val="78770560"/>
        <c:axId val="78772096"/>
      </c:lineChart>
      <c:catAx>
        <c:axId val="78770560"/>
        <c:scaling>
          <c:orientation val="minMax"/>
        </c:scaling>
        <c:axPos val="b"/>
        <c:numFmt formatCode="General" sourceLinked="1"/>
        <c:tickLblPos val="nextTo"/>
        <c:txPr>
          <a:bodyPr rot="-5400000" vert="horz"/>
          <a:lstStyle/>
          <a:p>
            <a:pPr>
              <a:defRPr/>
            </a:pPr>
            <a:endParaRPr lang="en-US"/>
          </a:p>
        </c:txPr>
        <c:crossAx val="78772096"/>
        <c:crosses val="autoZero"/>
        <c:auto val="1"/>
        <c:lblAlgn val="ctr"/>
        <c:lblOffset val="100"/>
      </c:catAx>
      <c:valAx>
        <c:axId val="78772096"/>
        <c:scaling>
          <c:orientation val="minMax"/>
        </c:scaling>
        <c:axPos val="l"/>
        <c:majorGridlines/>
        <c:numFmt formatCode="0%" sourceLinked="1"/>
        <c:tickLblPos val="nextTo"/>
        <c:crossAx val="7877056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E100-02DF-412E-B326-6D38532E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8536</Words>
  <Characters>48657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schml347</dc:creator>
  <cp:lastModifiedBy>ghilarducci/mcgahey</cp:lastModifiedBy>
  <cp:revision>2</cp:revision>
  <cp:lastPrinted>2013-05-20T14:55:00Z</cp:lastPrinted>
  <dcterms:created xsi:type="dcterms:W3CDTF">2013-12-22T00:05:00Z</dcterms:created>
  <dcterms:modified xsi:type="dcterms:W3CDTF">2013-12-22T00:05:00Z</dcterms:modified>
</cp:coreProperties>
</file>