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45" w:rsidRDefault="00EC7C2B" w:rsidP="00EC7C2B">
      <w:pPr>
        <w:jc w:val="center"/>
        <w:rPr>
          <w:sz w:val="24"/>
        </w:rPr>
      </w:pPr>
      <w:r>
        <w:rPr>
          <w:sz w:val="24"/>
        </w:rPr>
        <w:t>T</w:t>
      </w:r>
      <w:r w:rsidR="00046816" w:rsidRPr="004D1073">
        <w:rPr>
          <w:sz w:val="24"/>
        </w:rPr>
        <w:t xml:space="preserve">he </w:t>
      </w:r>
      <w:r w:rsidR="00F85B45">
        <w:rPr>
          <w:sz w:val="24"/>
        </w:rPr>
        <w:t>“</w:t>
      </w:r>
      <w:r w:rsidR="0052746A" w:rsidRPr="004D1073">
        <w:rPr>
          <w:sz w:val="24"/>
        </w:rPr>
        <w:t>Loss of Chance</w:t>
      </w:r>
      <w:r w:rsidR="00F85B45">
        <w:rPr>
          <w:sz w:val="24"/>
        </w:rPr>
        <w:t>”</w:t>
      </w:r>
      <w:r w:rsidR="00046816" w:rsidRPr="004D1073">
        <w:rPr>
          <w:sz w:val="24"/>
        </w:rPr>
        <w:t xml:space="preserve"> Rule</w:t>
      </w:r>
      <w:r>
        <w:rPr>
          <w:sz w:val="24"/>
        </w:rPr>
        <w:t xml:space="preserve"> in the Various States</w:t>
      </w:r>
    </w:p>
    <w:p w:rsidR="00F85B45" w:rsidRDefault="00F85B45" w:rsidP="00EC7C2B">
      <w:pPr>
        <w:jc w:val="center"/>
        <w:rPr>
          <w:sz w:val="24"/>
        </w:rPr>
      </w:pPr>
      <w:r>
        <w:rPr>
          <w:sz w:val="24"/>
        </w:rPr>
        <w:t>By</w:t>
      </w:r>
    </w:p>
    <w:p w:rsidR="00F85B45" w:rsidRDefault="00F85B45" w:rsidP="00EC7C2B">
      <w:pPr>
        <w:jc w:val="center"/>
        <w:rPr>
          <w:sz w:val="24"/>
        </w:rPr>
      </w:pPr>
      <w:r>
        <w:rPr>
          <w:sz w:val="24"/>
        </w:rPr>
        <w:t xml:space="preserve">Lauren Guest and David </w:t>
      </w:r>
      <w:proofErr w:type="spellStart"/>
      <w:r>
        <w:rPr>
          <w:sz w:val="24"/>
        </w:rPr>
        <w:t>Schap</w:t>
      </w:r>
      <w:proofErr w:type="spellEnd"/>
    </w:p>
    <w:p w:rsidR="00F85B45" w:rsidRDefault="00F85B45" w:rsidP="00EC7C2B">
      <w:pPr>
        <w:jc w:val="center"/>
        <w:rPr>
          <w:sz w:val="24"/>
        </w:rPr>
      </w:pPr>
      <w:r>
        <w:rPr>
          <w:sz w:val="24"/>
        </w:rPr>
        <w:t xml:space="preserve">College of the Holy </w:t>
      </w:r>
      <w:proofErr w:type="gramStart"/>
      <w:r>
        <w:rPr>
          <w:sz w:val="24"/>
        </w:rPr>
        <w:t>Cross</w:t>
      </w:r>
      <w:proofErr w:type="gramEnd"/>
    </w:p>
    <w:p w:rsidR="00F85B45" w:rsidRDefault="00710085" w:rsidP="00EC7C2B">
      <w:pPr>
        <w:jc w:val="center"/>
        <w:rPr>
          <w:sz w:val="24"/>
        </w:rPr>
      </w:pPr>
      <w:r>
        <w:rPr>
          <w:sz w:val="24"/>
        </w:rPr>
        <w:t>December 28</w:t>
      </w:r>
      <w:r w:rsidR="00F85B45">
        <w:rPr>
          <w:sz w:val="24"/>
        </w:rPr>
        <w:t>, 2013</w:t>
      </w:r>
    </w:p>
    <w:p w:rsidR="00F85B45" w:rsidRDefault="00F85B45" w:rsidP="00EC7C2B">
      <w:pPr>
        <w:jc w:val="center"/>
        <w:rPr>
          <w:sz w:val="24"/>
        </w:rPr>
      </w:pPr>
    </w:p>
    <w:p w:rsidR="00F85B45" w:rsidRDefault="00F85B45" w:rsidP="00EC7C2B">
      <w:pPr>
        <w:jc w:val="center"/>
        <w:rPr>
          <w:sz w:val="24"/>
        </w:rPr>
      </w:pPr>
      <w:proofErr w:type="gramStart"/>
      <w:r>
        <w:rPr>
          <w:sz w:val="24"/>
        </w:rPr>
        <w:t>For presentation at a National Association of Forensic Economics session at the Allied Social Science Association Meetings, January 4, 2013, Philadelphia, PA.</w:t>
      </w:r>
      <w:proofErr w:type="gramEnd"/>
    </w:p>
    <w:p w:rsidR="00F85B45" w:rsidRDefault="00F85B45" w:rsidP="00EC7C2B">
      <w:pPr>
        <w:jc w:val="center"/>
        <w:rPr>
          <w:sz w:val="24"/>
        </w:rPr>
      </w:pPr>
    </w:p>
    <w:p w:rsidR="00F85B45" w:rsidRDefault="00F85B45" w:rsidP="00F85B45">
      <w:pPr>
        <w:rPr>
          <w:sz w:val="24"/>
        </w:rPr>
      </w:pPr>
      <w:r>
        <w:rPr>
          <w:sz w:val="24"/>
        </w:rPr>
        <w:t xml:space="preserve">Corresponding author and presenter: </w:t>
      </w:r>
      <w:r>
        <w:rPr>
          <w:sz w:val="24"/>
        </w:rPr>
        <w:br/>
      </w:r>
      <w:r>
        <w:rPr>
          <w:sz w:val="24"/>
        </w:rPr>
        <w:tab/>
        <w:t xml:space="preserve">David </w:t>
      </w:r>
      <w:proofErr w:type="spellStart"/>
      <w:r>
        <w:rPr>
          <w:sz w:val="24"/>
        </w:rPr>
        <w:t>Schap</w:t>
      </w:r>
      <w:proofErr w:type="spellEnd"/>
      <w:r>
        <w:rPr>
          <w:sz w:val="24"/>
        </w:rPr>
        <w:t>, Box 88a, College of the Holy Cross, Worcester, MA 01610</w:t>
      </w:r>
      <w:r>
        <w:rPr>
          <w:sz w:val="24"/>
        </w:rPr>
        <w:br/>
      </w:r>
      <w:r>
        <w:rPr>
          <w:sz w:val="24"/>
        </w:rPr>
        <w:tab/>
      </w:r>
      <w:hyperlink r:id="rId7" w:history="1">
        <w:r w:rsidRPr="00AA7C68">
          <w:rPr>
            <w:rStyle w:val="Hyperlink"/>
            <w:sz w:val="24"/>
          </w:rPr>
          <w:t>dschap@holycross.edu</w:t>
        </w:r>
      </w:hyperlink>
      <w:r>
        <w:rPr>
          <w:sz w:val="24"/>
        </w:rPr>
        <w:t>, 508-793-2688</w:t>
      </w:r>
    </w:p>
    <w:p w:rsidR="00F85B45" w:rsidRDefault="00F85B45" w:rsidP="00F85B45">
      <w:pPr>
        <w:rPr>
          <w:sz w:val="24"/>
        </w:rPr>
        <w:sectPr w:rsidR="00F85B45">
          <w:footerReference w:type="even" r:id="rId8"/>
          <w:footerReference w:type="default" r:id="rId9"/>
          <w:pgSz w:w="12240" w:h="15840"/>
          <w:pgMar w:top="1440" w:right="1440" w:bottom="1440" w:left="1440" w:gutter="0"/>
          <w:titlePg/>
          <w:docGrid w:linePitch="360"/>
        </w:sectPr>
      </w:pPr>
    </w:p>
    <w:p w:rsidR="00337E51" w:rsidRPr="00F85B45" w:rsidRDefault="00F85B45" w:rsidP="00427EF8">
      <w:pPr>
        <w:jc w:val="center"/>
        <w:rPr>
          <w:b/>
          <w:sz w:val="24"/>
        </w:rPr>
      </w:pPr>
      <w:r w:rsidRPr="00F85B45">
        <w:rPr>
          <w:b/>
          <w:sz w:val="24"/>
        </w:rPr>
        <w:t>The “Loss of Chance” Rule in the Various States</w:t>
      </w:r>
    </w:p>
    <w:p w:rsidR="00427EF8" w:rsidRPr="00EC7C2B" w:rsidRDefault="00337E51" w:rsidP="00337E51">
      <w:pPr>
        <w:rPr>
          <w:b/>
          <w:sz w:val="24"/>
        </w:rPr>
      </w:pPr>
      <w:r w:rsidRPr="00EC7C2B">
        <w:rPr>
          <w:b/>
          <w:sz w:val="24"/>
        </w:rPr>
        <w:t>Introduction: Defining Loss of Chance</w:t>
      </w:r>
    </w:p>
    <w:p w:rsidR="00CE1B35" w:rsidRPr="004D1073" w:rsidRDefault="00046816" w:rsidP="00AA3A39">
      <w:pPr>
        <w:ind w:firstLine="720"/>
        <w:rPr>
          <w:sz w:val="24"/>
        </w:rPr>
      </w:pPr>
      <w:r w:rsidRPr="004D1073">
        <w:rPr>
          <w:sz w:val="24"/>
        </w:rPr>
        <w:t>The loss of chance rule</w:t>
      </w:r>
      <w:r w:rsidR="00E60289" w:rsidRPr="004D1073">
        <w:rPr>
          <w:sz w:val="24"/>
        </w:rPr>
        <w:t xml:space="preserve"> </w:t>
      </w:r>
      <w:r w:rsidRPr="004D1073">
        <w:rPr>
          <w:sz w:val="24"/>
        </w:rPr>
        <w:t xml:space="preserve">principally </w:t>
      </w:r>
      <w:r w:rsidR="00E60289" w:rsidRPr="004D1073">
        <w:rPr>
          <w:sz w:val="24"/>
        </w:rPr>
        <w:t xml:space="preserve">addresses cases of </w:t>
      </w:r>
      <w:r w:rsidR="00587137" w:rsidRPr="004D1073">
        <w:rPr>
          <w:sz w:val="24"/>
        </w:rPr>
        <w:t>wrongful death</w:t>
      </w:r>
      <w:r w:rsidR="003426F0" w:rsidRPr="004D1073">
        <w:rPr>
          <w:sz w:val="24"/>
        </w:rPr>
        <w:t xml:space="preserve"> in which the victim’s</w:t>
      </w:r>
      <w:r w:rsidR="00587137" w:rsidRPr="004D1073">
        <w:rPr>
          <w:sz w:val="24"/>
        </w:rPr>
        <w:t xml:space="preserve"> chance of survival has been reduced by </w:t>
      </w:r>
      <w:r w:rsidR="0052746A" w:rsidRPr="004D1073">
        <w:rPr>
          <w:sz w:val="24"/>
        </w:rPr>
        <w:t xml:space="preserve">negligent </w:t>
      </w:r>
      <w:r w:rsidR="00587137" w:rsidRPr="004D1073">
        <w:rPr>
          <w:sz w:val="24"/>
        </w:rPr>
        <w:t>medical malpractice</w:t>
      </w:r>
      <w:r w:rsidR="005D68C6">
        <w:rPr>
          <w:sz w:val="24"/>
        </w:rPr>
        <w:t xml:space="preserve">, </w:t>
      </w:r>
      <w:r w:rsidRPr="004D1073">
        <w:rPr>
          <w:sz w:val="24"/>
        </w:rPr>
        <w:t xml:space="preserve">although </w:t>
      </w:r>
      <w:proofErr w:type="spellStart"/>
      <w:r w:rsidRPr="004D1073">
        <w:rPr>
          <w:sz w:val="24"/>
        </w:rPr>
        <w:t>Frasca</w:t>
      </w:r>
      <w:proofErr w:type="spellEnd"/>
      <w:r w:rsidRPr="004D1073">
        <w:rPr>
          <w:sz w:val="24"/>
        </w:rPr>
        <w:t xml:space="preserve"> </w:t>
      </w:r>
      <w:r w:rsidR="005D68C6">
        <w:rPr>
          <w:sz w:val="24"/>
        </w:rPr>
        <w:t>(</w:t>
      </w:r>
      <w:r w:rsidRPr="004D1073">
        <w:rPr>
          <w:sz w:val="24"/>
        </w:rPr>
        <w:t>2009</w:t>
      </w:r>
      <w:r w:rsidR="005D68C6">
        <w:rPr>
          <w:sz w:val="24"/>
        </w:rPr>
        <w:t>)</w:t>
      </w:r>
      <w:r w:rsidRPr="004D1073">
        <w:rPr>
          <w:sz w:val="24"/>
        </w:rPr>
        <w:t xml:space="preserve"> mentions in passing othe</w:t>
      </w:r>
      <w:r w:rsidR="005D68C6">
        <w:rPr>
          <w:sz w:val="24"/>
        </w:rPr>
        <w:t>r applications</w:t>
      </w:r>
      <w:r w:rsidR="00587137" w:rsidRPr="004D1073">
        <w:rPr>
          <w:sz w:val="24"/>
        </w:rPr>
        <w:t xml:space="preserve">.  </w:t>
      </w:r>
      <w:r w:rsidR="00AA3A39" w:rsidRPr="004D1073">
        <w:rPr>
          <w:sz w:val="24"/>
        </w:rPr>
        <w:t xml:space="preserve">There </w:t>
      </w:r>
      <w:r w:rsidRPr="004D1073">
        <w:rPr>
          <w:sz w:val="24"/>
        </w:rPr>
        <w:t xml:space="preserve">are three versions of the rule described by </w:t>
      </w:r>
      <w:proofErr w:type="spellStart"/>
      <w:r w:rsidRPr="004D1073">
        <w:rPr>
          <w:sz w:val="24"/>
        </w:rPr>
        <w:t>Frasca</w:t>
      </w:r>
      <w:proofErr w:type="spellEnd"/>
      <w:r w:rsidRPr="004D1073">
        <w:rPr>
          <w:sz w:val="24"/>
        </w:rPr>
        <w:t xml:space="preserve"> (2009) that</w:t>
      </w:r>
      <w:r w:rsidR="00AA3A39" w:rsidRPr="004D1073">
        <w:rPr>
          <w:sz w:val="24"/>
        </w:rPr>
        <w:t xml:space="preserve"> c</w:t>
      </w:r>
      <w:r w:rsidRPr="004D1073">
        <w:rPr>
          <w:sz w:val="24"/>
        </w:rPr>
        <w:t>over a range of various possible scenarios.  The first is the “all-or-n</w:t>
      </w:r>
      <w:r w:rsidR="00AA3A39" w:rsidRPr="004D1073">
        <w:rPr>
          <w:sz w:val="24"/>
        </w:rPr>
        <w:t>othing” rule, which assigns the full value of the damage award to the pl</w:t>
      </w:r>
      <w:r w:rsidR="00587137" w:rsidRPr="004D1073">
        <w:rPr>
          <w:sz w:val="24"/>
        </w:rPr>
        <w:t>aintiff in the event that it can be</w:t>
      </w:r>
      <w:r w:rsidR="00AA3A39" w:rsidRPr="004D1073">
        <w:rPr>
          <w:sz w:val="24"/>
        </w:rPr>
        <w:t xml:space="preserve"> can prove</w:t>
      </w:r>
      <w:r w:rsidR="00587137" w:rsidRPr="004D1073">
        <w:rPr>
          <w:sz w:val="24"/>
        </w:rPr>
        <w:t>n</w:t>
      </w:r>
      <w:r w:rsidR="00AA3A39" w:rsidRPr="004D1073">
        <w:rPr>
          <w:sz w:val="24"/>
        </w:rPr>
        <w:t xml:space="preserve"> that, prior to the negligent behavior, the patient had a ch</w:t>
      </w:r>
      <w:r w:rsidR="003E4E87" w:rsidRPr="004D1073">
        <w:rPr>
          <w:sz w:val="24"/>
        </w:rPr>
        <w:t>ance of survival greater than fifty</w:t>
      </w:r>
      <w:r w:rsidR="00AA3A39" w:rsidRPr="004D1073">
        <w:rPr>
          <w:sz w:val="24"/>
        </w:rPr>
        <w:t xml:space="preserve"> percent</w:t>
      </w:r>
      <w:r w:rsidR="00DD3752">
        <w:rPr>
          <w:sz w:val="24"/>
        </w:rPr>
        <w:t xml:space="preserve"> if given non-negligent medical</w:t>
      </w:r>
      <w:r w:rsidR="003E4E87" w:rsidRPr="004D1073">
        <w:rPr>
          <w:sz w:val="24"/>
        </w:rPr>
        <w:t xml:space="preserve"> care</w:t>
      </w:r>
      <w:r w:rsidR="00AA3A39" w:rsidRPr="004D1073">
        <w:rPr>
          <w:sz w:val="24"/>
        </w:rPr>
        <w:t xml:space="preserve">.  </w:t>
      </w:r>
      <w:proofErr w:type="spellStart"/>
      <w:r w:rsidRPr="004D1073">
        <w:rPr>
          <w:sz w:val="24"/>
        </w:rPr>
        <w:t>Frasca</w:t>
      </w:r>
      <w:proofErr w:type="spellEnd"/>
      <w:r w:rsidRPr="004D1073">
        <w:rPr>
          <w:sz w:val="24"/>
        </w:rPr>
        <w:t xml:space="preserve"> (2009) points out that the rule is an application of the simple negligence standard in a context in which causation is </w:t>
      </w:r>
      <w:r w:rsidR="003E4E87" w:rsidRPr="004D1073">
        <w:rPr>
          <w:sz w:val="24"/>
        </w:rPr>
        <w:t>am</w:t>
      </w:r>
      <w:r w:rsidRPr="004D1073">
        <w:rPr>
          <w:sz w:val="24"/>
        </w:rPr>
        <w:t>biguous</w:t>
      </w:r>
      <w:r w:rsidR="003E4E87" w:rsidRPr="004D1073">
        <w:rPr>
          <w:sz w:val="24"/>
        </w:rPr>
        <w:t xml:space="preserve">: given a survival probability of greater than fifty percent with medically appropriate care, </w:t>
      </w:r>
      <w:r w:rsidR="005D68C6">
        <w:rPr>
          <w:sz w:val="24"/>
        </w:rPr>
        <w:t>if the negligent care is</w:t>
      </w:r>
      <w:r w:rsidR="003E4E87" w:rsidRPr="004D1073">
        <w:rPr>
          <w:sz w:val="24"/>
        </w:rPr>
        <w:t xml:space="preserve"> deemed to be the proximate cause of death </w:t>
      </w:r>
      <w:r w:rsidR="00DD3752">
        <w:rPr>
          <w:sz w:val="24"/>
        </w:rPr>
        <w:t>based on a st</w:t>
      </w:r>
      <w:r w:rsidR="005D68C6">
        <w:rPr>
          <w:sz w:val="24"/>
        </w:rPr>
        <w:t>andard of more likely than not,</w:t>
      </w:r>
      <w:r w:rsidR="003E4E87" w:rsidRPr="004D1073">
        <w:rPr>
          <w:sz w:val="24"/>
        </w:rPr>
        <w:t xml:space="preserve"> </w:t>
      </w:r>
      <w:r w:rsidR="00DD3752">
        <w:rPr>
          <w:sz w:val="24"/>
        </w:rPr>
        <w:t xml:space="preserve">full </w:t>
      </w:r>
      <w:r w:rsidR="003E4E87" w:rsidRPr="004D1073">
        <w:rPr>
          <w:sz w:val="24"/>
        </w:rPr>
        <w:t>damages are awarded accordingly.</w:t>
      </w:r>
      <w:r w:rsidRPr="004D1073">
        <w:rPr>
          <w:sz w:val="24"/>
        </w:rPr>
        <w:t xml:space="preserve">  </w:t>
      </w:r>
      <w:r w:rsidR="00AA3A39" w:rsidRPr="004D1073">
        <w:rPr>
          <w:sz w:val="24"/>
        </w:rPr>
        <w:t>If t</w:t>
      </w:r>
      <w:r w:rsidR="005D68C6">
        <w:rPr>
          <w:sz w:val="24"/>
        </w:rPr>
        <w:t>he evidence suggests</w:t>
      </w:r>
      <w:r w:rsidR="00AA3A39" w:rsidRPr="004D1073">
        <w:rPr>
          <w:sz w:val="24"/>
        </w:rPr>
        <w:t xml:space="preserve"> that the chance of survival </w:t>
      </w:r>
      <w:r w:rsidR="003426F0" w:rsidRPr="004D1073">
        <w:rPr>
          <w:sz w:val="24"/>
        </w:rPr>
        <w:t xml:space="preserve">initially </w:t>
      </w:r>
      <w:r w:rsidR="003E4E87" w:rsidRPr="004D1073">
        <w:rPr>
          <w:sz w:val="24"/>
        </w:rPr>
        <w:t>was at or below the fifty</w:t>
      </w:r>
      <w:r w:rsidR="00AA3A39" w:rsidRPr="004D1073">
        <w:rPr>
          <w:sz w:val="24"/>
        </w:rPr>
        <w:t xml:space="preserve"> percent threshold</w:t>
      </w:r>
      <w:r w:rsidR="005D68C6">
        <w:rPr>
          <w:sz w:val="24"/>
        </w:rPr>
        <w:t>, however,</w:t>
      </w:r>
      <w:r w:rsidR="00AA3A39" w:rsidRPr="004D1073">
        <w:rPr>
          <w:sz w:val="24"/>
        </w:rPr>
        <w:t xml:space="preserve"> then </w:t>
      </w:r>
      <w:r w:rsidR="003E4E87" w:rsidRPr="004D1073">
        <w:rPr>
          <w:sz w:val="24"/>
        </w:rPr>
        <w:t xml:space="preserve">it cannot be the case that the malpractice was more likely than not the causal factor in the death, so the plaintiff </w:t>
      </w:r>
      <w:r w:rsidR="00AA3A39" w:rsidRPr="004D1073">
        <w:rPr>
          <w:sz w:val="24"/>
        </w:rPr>
        <w:t>receive</w:t>
      </w:r>
      <w:r w:rsidR="003E4E87" w:rsidRPr="004D1073">
        <w:rPr>
          <w:sz w:val="24"/>
        </w:rPr>
        <w:t>s no award of</w:t>
      </w:r>
      <w:r w:rsidR="00AA3A39" w:rsidRPr="004D1073">
        <w:rPr>
          <w:sz w:val="24"/>
        </w:rPr>
        <w:t xml:space="preserve"> damages</w:t>
      </w:r>
      <w:r w:rsidR="005D68C6">
        <w:rPr>
          <w:sz w:val="24"/>
        </w:rPr>
        <w:t xml:space="preserve"> whatsoever</w:t>
      </w:r>
      <w:r w:rsidR="00AA3A39" w:rsidRPr="004D1073">
        <w:rPr>
          <w:sz w:val="24"/>
        </w:rPr>
        <w:t xml:space="preserve">.  </w:t>
      </w:r>
    </w:p>
    <w:p w:rsidR="00DE29E5" w:rsidRPr="004D1073" w:rsidRDefault="00CE1B35" w:rsidP="00AA3A39">
      <w:pPr>
        <w:ind w:firstLine="720"/>
        <w:rPr>
          <w:sz w:val="24"/>
        </w:rPr>
      </w:pPr>
      <w:proofErr w:type="spellStart"/>
      <w:r w:rsidRPr="004D1073">
        <w:rPr>
          <w:sz w:val="24"/>
        </w:rPr>
        <w:t>Frasca</w:t>
      </w:r>
      <w:proofErr w:type="spellEnd"/>
      <w:r w:rsidRPr="004D1073">
        <w:rPr>
          <w:sz w:val="24"/>
        </w:rPr>
        <w:t xml:space="preserve"> (2009, pp. 95-96) indicate</w:t>
      </w:r>
      <w:r w:rsidR="00DE29E5" w:rsidRPr="004D1073">
        <w:rPr>
          <w:sz w:val="24"/>
        </w:rPr>
        <w:t>s that</w:t>
      </w:r>
      <w:r w:rsidRPr="004D1073">
        <w:rPr>
          <w:sz w:val="24"/>
        </w:rPr>
        <w:t xml:space="preserve"> in the application of the all-or-</w:t>
      </w:r>
      <w:r w:rsidR="00271F91">
        <w:rPr>
          <w:sz w:val="24"/>
        </w:rPr>
        <w:t>nothing rule with respect to</w:t>
      </w:r>
      <w:r w:rsidRPr="004D1073">
        <w:rPr>
          <w:sz w:val="24"/>
        </w:rPr>
        <w:t xml:space="preserve"> </w:t>
      </w:r>
      <w:r w:rsidR="00DE29E5" w:rsidRPr="004D1073">
        <w:rPr>
          <w:sz w:val="24"/>
        </w:rPr>
        <w:t xml:space="preserve">setting </w:t>
      </w:r>
      <w:r w:rsidR="00271F91">
        <w:rPr>
          <w:sz w:val="24"/>
        </w:rPr>
        <w:t xml:space="preserve">the exact amount </w:t>
      </w:r>
      <w:r w:rsidR="00DE29E5" w:rsidRPr="004D1073">
        <w:rPr>
          <w:sz w:val="24"/>
        </w:rPr>
        <w:t>of</w:t>
      </w:r>
      <w:r w:rsidRPr="004D1073">
        <w:rPr>
          <w:sz w:val="24"/>
        </w:rPr>
        <w:t xml:space="preserve"> dama</w:t>
      </w:r>
      <w:r w:rsidR="00DE29E5" w:rsidRPr="004D1073">
        <w:rPr>
          <w:sz w:val="24"/>
        </w:rPr>
        <w:t>ges, survival probability is ignored</w:t>
      </w:r>
      <w:r w:rsidRPr="004D1073">
        <w:rPr>
          <w:sz w:val="24"/>
        </w:rPr>
        <w:t xml:space="preserve">.  The award of damages is not </w:t>
      </w:r>
      <w:r w:rsidR="00271F91">
        <w:rPr>
          <w:sz w:val="24"/>
        </w:rPr>
        <w:t xml:space="preserve">discounted (i.e., </w:t>
      </w:r>
      <w:r w:rsidRPr="004D1073">
        <w:rPr>
          <w:sz w:val="24"/>
        </w:rPr>
        <w:t>reduced</w:t>
      </w:r>
      <w:r w:rsidR="00271F91">
        <w:rPr>
          <w:sz w:val="24"/>
        </w:rPr>
        <w:t>)</w:t>
      </w:r>
      <w:r w:rsidRPr="004D1073">
        <w:rPr>
          <w:sz w:val="24"/>
        </w:rPr>
        <w:t xml:space="preserve"> by the </w:t>
      </w:r>
      <w:r w:rsidR="0032272A">
        <w:rPr>
          <w:sz w:val="24"/>
        </w:rPr>
        <w:t xml:space="preserve">initial </w:t>
      </w:r>
      <w:r w:rsidRPr="004D1073">
        <w:rPr>
          <w:sz w:val="24"/>
        </w:rPr>
        <w:t>probability of survival when the pre-treatment probability of survival is above fifty p</w:t>
      </w:r>
      <w:r w:rsidR="00DE29E5" w:rsidRPr="004D1073">
        <w:rPr>
          <w:sz w:val="24"/>
        </w:rPr>
        <w:t>ercent, but less than unity</w:t>
      </w:r>
      <w:proofErr w:type="gramStart"/>
      <w:r w:rsidR="00DE29E5" w:rsidRPr="004D1073">
        <w:rPr>
          <w:sz w:val="24"/>
        </w:rPr>
        <w:t>;</w:t>
      </w:r>
      <w:proofErr w:type="gramEnd"/>
      <w:r w:rsidR="00DE29E5" w:rsidRPr="004D1073">
        <w:rPr>
          <w:sz w:val="24"/>
        </w:rPr>
        <w:t xml:space="preserve"> and</w:t>
      </w:r>
      <w:r w:rsidRPr="004D1073">
        <w:rPr>
          <w:sz w:val="24"/>
        </w:rPr>
        <w:t xml:space="preserve"> when the </w:t>
      </w:r>
      <w:r w:rsidR="0032272A">
        <w:rPr>
          <w:sz w:val="24"/>
        </w:rPr>
        <w:t xml:space="preserve">initial </w:t>
      </w:r>
      <w:r w:rsidRPr="004D1073">
        <w:rPr>
          <w:sz w:val="24"/>
        </w:rPr>
        <w:t>survival probability is at or less than fifty percent, nothing is awarded</w:t>
      </w:r>
      <w:r w:rsidR="00DE29E5" w:rsidRPr="004D1073">
        <w:rPr>
          <w:sz w:val="24"/>
        </w:rPr>
        <w:t>.</w:t>
      </w:r>
    </w:p>
    <w:p w:rsidR="00DE29E5" w:rsidRPr="004D1073" w:rsidRDefault="00DE29E5" w:rsidP="00AA3A39">
      <w:pPr>
        <w:ind w:firstLine="720"/>
        <w:rPr>
          <w:sz w:val="24"/>
        </w:rPr>
      </w:pPr>
      <w:r w:rsidRPr="004D1073">
        <w:rPr>
          <w:sz w:val="24"/>
        </w:rPr>
        <w:t xml:space="preserve">Following the notation in </w:t>
      </w:r>
      <w:proofErr w:type="spellStart"/>
      <w:r w:rsidRPr="004D1073">
        <w:rPr>
          <w:sz w:val="24"/>
        </w:rPr>
        <w:t>Frasca</w:t>
      </w:r>
      <w:proofErr w:type="spellEnd"/>
      <w:r w:rsidRPr="004D1073">
        <w:rPr>
          <w:sz w:val="24"/>
        </w:rPr>
        <w:t xml:space="preserve"> (2009), we may write:</w:t>
      </w:r>
    </w:p>
    <w:p w:rsidR="00DE29E5" w:rsidRPr="004D1073" w:rsidRDefault="00DE29E5" w:rsidP="00AA3A39">
      <w:pPr>
        <w:ind w:firstLine="720"/>
        <w:rPr>
          <w:sz w:val="24"/>
        </w:rPr>
      </w:pPr>
      <w:r w:rsidRPr="004D1073">
        <w:rPr>
          <w:sz w:val="24"/>
        </w:rPr>
        <w:tab/>
      </w:r>
      <w:r w:rsidRPr="004D1073">
        <w:rPr>
          <w:i/>
          <w:sz w:val="24"/>
        </w:rPr>
        <w:t>D</w:t>
      </w:r>
      <w:r w:rsidRPr="004D1073">
        <w:rPr>
          <w:sz w:val="24"/>
        </w:rPr>
        <w:t xml:space="preserve"> = damages</w:t>
      </w:r>
    </w:p>
    <w:p w:rsidR="00DE29E5" w:rsidRPr="004D1073" w:rsidRDefault="00DE29E5" w:rsidP="00AA3A39">
      <w:pPr>
        <w:ind w:firstLine="720"/>
        <w:rPr>
          <w:sz w:val="24"/>
        </w:rPr>
      </w:pPr>
      <w:r w:rsidRPr="004D1073">
        <w:rPr>
          <w:sz w:val="24"/>
        </w:rPr>
        <w:tab/>
      </w:r>
      <w:proofErr w:type="gramStart"/>
      <w:r w:rsidRPr="004D1073">
        <w:rPr>
          <w:i/>
          <w:sz w:val="24"/>
        </w:rPr>
        <w:t>p</w:t>
      </w:r>
      <w:r w:rsidRPr="004D1073">
        <w:rPr>
          <w:i/>
          <w:sz w:val="24"/>
          <w:vertAlign w:val="subscript"/>
        </w:rPr>
        <w:t>a</w:t>
      </w:r>
      <w:proofErr w:type="gramEnd"/>
      <w:r w:rsidRPr="004D1073">
        <w:rPr>
          <w:sz w:val="24"/>
        </w:rPr>
        <w:t xml:space="preserve"> = </w:t>
      </w:r>
      <w:r w:rsidRPr="004D1073">
        <w:rPr>
          <w:i/>
          <w:sz w:val="24"/>
        </w:rPr>
        <w:t>a priori</w:t>
      </w:r>
      <w:r w:rsidRPr="004D1073">
        <w:rPr>
          <w:sz w:val="24"/>
        </w:rPr>
        <w:t xml:space="preserve"> probability of recovery absent negligence</w:t>
      </w:r>
      <w:r w:rsidR="00271F91">
        <w:rPr>
          <w:sz w:val="24"/>
        </w:rPr>
        <w:t xml:space="preserve"> (</w:t>
      </w:r>
      <w:r w:rsidR="00733DB8" w:rsidRPr="004D1073">
        <w:rPr>
          <w:sz w:val="24"/>
        </w:rPr>
        <w:t>assuming non-</w:t>
      </w:r>
      <w:r w:rsidR="004D1073">
        <w:rPr>
          <w:sz w:val="24"/>
        </w:rPr>
        <w:tab/>
      </w:r>
      <w:r w:rsidR="004D1073">
        <w:rPr>
          <w:sz w:val="24"/>
        </w:rPr>
        <w:tab/>
      </w:r>
      <w:r w:rsidR="004D1073">
        <w:rPr>
          <w:sz w:val="24"/>
        </w:rPr>
        <w:tab/>
      </w:r>
      <w:r w:rsidR="004D1073">
        <w:rPr>
          <w:sz w:val="24"/>
        </w:rPr>
        <w:tab/>
      </w:r>
      <w:r w:rsidR="00733DB8" w:rsidRPr="004D1073">
        <w:rPr>
          <w:sz w:val="24"/>
        </w:rPr>
        <w:t>negligent</w:t>
      </w:r>
      <w:r w:rsidR="004D1073">
        <w:rPr>
          <w:sz w:val="24"/>
        </w:rPr>
        <w:t xml:space="preserve"> </w:t>
      </w:r>
      <w:r w:rsidR="0032272A">
        <w:rPr>
          <w:sz w:val="24"/>
        </w:rPr>
        <w:t>treatment was available</w:t>
      </w:r>
      <w:r w:rsidRPr="004D1073">
        <w:rPr>
          <w:sz w:val="24"/>
        </w:rPr>
        <w:t xml:space="preserve"> and </w:t>
      </w:r>
      <w:r w:rsidR="0032272A">
        <w:rPr>
          <w:sz w:val="24"/>
        </w:rPr>
        <w:t xml:space="preserve">could have been </w:t>
      </w:r>
      <w:r w:rsidRPr="004D1073">
        <w:rPr>
          <w:sz w:val="24"/>
        </w:rPr>
        <w:t xml:space="preserve">obtained by the </w:t>
      </w:r>
      <w:r w:rsidR="004D1073">
        <w:rPr>
          <w:sz w:val="24"/>
        </w:rPr>
        <w:tab/>
      </w:r>
      <w:r w:rsidR="004D1073">
        <w:rPr>
          <w:sz w:val="24"/>
        </w:rPr>
        <w:tab/>
      </w:r>
      <w:r w:rsidR="004D1073">
        <w:rPr>
          <w:sz w:val="24"/>
        </w:rPr>
        <w:tab/>
      </w:r>
      <w:r w:rsidR="0032272A">
        <w:rPr>
          <w:sz w:val="24"/>
        </w:rPr>
        <w:tab/>
      </w:r>
      <w:r w:rsidRPr="004D1073">
        <w:rPr>
          <w:sz w:val="24"/>
        </w:rPr>
        <w:t>victim)</w:t>
      </w:r>
    </w:p>
    <w:p w:rsidR="00733DB8" w:rsidRPr="004D1073" w:rsidRDefault="00DE29E5" w:rsidP="00AA3A39">
      <w:pPr>
        <w:ind w:firstLine="720"/>
        <w:rPr>
          <w:sz w:val="24"/>
        </w:rPr>
      </w:pPr>
      <w:r w:rsidRPr="004D1073">
        <w:rPr>
          <w:sz w:val="24"/>
        </w:rPr>
        <w:tab/>
      </w:r>
      <w:r w:rsidRPr="004D1073">
        <w:rPr>
          <w:i/>
          <w:sz w:val="24"/>
        </w:rPr>
        <w:t>L</w:t>
      </w:r>
      <w:r w:rsidRPr="004D1073">
        <w:rPr>
          <w:sz w:val="24"/>
        </w:rPr>
        <w:t xml:space="preserve"> = loss absent a full recovery.</w:t>
      </w:r>
    </w:p>
    <w:p w:rsidR="00DE29E5" w:rsidRPr="004D1073" w:rsidRDefault="00DE29E5" w:rsidP="00AA3A39">
      <w:pPr>
        <w:ind w:firstLine="720"/>
        <w:rPr>
          <w:sz w:val="24"/>
        </w:rPr>
      </w:pPr>
      <w:r w:rsidRPr="004D1073">
        <w:rPr>
          <w:sz w:val="24"/>
        </w:rPr>
        <w:t>Using these variables, the all-or-nothing rule is formally defined as follows:</w:t>
      </w:r>
    </w:p>
    <w:p w:rsidR="00DE29E5" w:rsidRPr="004D1073" w:rsidRDefault="00DE29E5" w:rsidP="00AA3A39">
      <w:pPr>
        <w:ind w:firstLine="720"/>
        <w:rPr>
          <w:sz w:val="24"/>
        </w:rPr>
      </w:pPr>
      <w:r w:rsidRPr="004D1073">
        <w:rPr>
          <w:sz w:val="24"/>
        </w:rPr>
        <w:tab/>
        <w:t xml:space="preserve">If </w:t>
      </w:r>
      <w:r w:rsidRPr="004D1073">
        <w:rPr>
          <w:i/>
          <w:sz w:val="24"/>
        </w:rPr>
        <w:t>p</w:t>
      </w:r>
      <w:r w:rsidRPr="004D1073">
        <w:rPr>
          <w:i/>
          <w:sz w:val="24"/>
          <w:vertAlign w:val="subscript"/>
        </w:rPr>
        <w:t>a</w:t>
      </w:r>
      <w:r w:rsidRPr="004D1073">
        <w:rPr>
          <w:sz w:val="24"/>
        </w:rPr>
        <w:t xml:space="preserve"> &gt; .5, then </w:t>
      </w:r>
      <w:r w:rsidRPr="004D1073">
        <w:rPr>
          <w:i/>
          <w:sz w:val="24"/>
        </w:rPr>
        <w:t>D</w:t>
      </w:r>
      <w:r w:rsidRPr="004D1073">
        <w:rPr>
          <w:sz w:val="24"/>
        </w:rPr>
        <w:t xml:space="preserve"> = </w:t>
      </w:r>
      <w:r w:rsidRPr="004D1073">
        <w:rPr>
          <w:i/>
          <w:sz w:val="24"/>
        </w:rPr>
        <w:t>L</w:t>
      </w:r>
      <w:r w:rsidRPr="004D1073">
        <w:rPr>
          <w:sz w:val="24"/>
        </w:rPr>
        <w:t>.</w:t>
      </w:r>
    </w:p>
    <w:p w:rsidR="00733DB8" w:rsidRPr="004D1073" w:rsidRDefault="00DE29E5" w:rsidP="00AA3A39">
      <w:pPr>
        <w:ind w:firstLine="720"/>
        <w:rPr>
          <w:sz w:val="24"/>
        </w:rPr>
      </w:pPr>
      <w:r w:rsidRPr="004D1073">
        <w:rPr>
          <w:sz w:val="24"/>
        </w:rPr>
        <w:tab/>
      </w:r>
      <w:r w:rsidR="004E6497" w:rsidRPr="004D1073">
        <w:rPr>
          <w:sz w:val="24"/>
        </w:rPr>
        <w:t xml:space="preserve">If </w:t>
      </w:r>
      <w:r w:rsidR="004E6497" w:rsidRPr="004D1073">
        <w:rPr>
          <w:i/>
          <w:sz w:val="24"/>
        </w:rPr>
        <w:t>p</w:t>
      </w:r>
      <w:r w:rsidR="004E6497" w:rsidRPr="004D1073">
        <w:rPr>
          <w:i/>
          <w:sz w:val="24"/>
          <w:vertAlign w:val="subscript"/>
        </w:rPr>
        <w:t>a</w:t>
      </w:r>
      <w:r w:rsidR="00733DB8" w:rsidRPr="004D1073">
        <w:rPr>
          <w:sz w:val="24"/>
        </w:rPr>
        <w:t xml:space="preserve"> </w:t>
      </w:r>
      <w:r w:rsidR="00733DB8" w:rsidRPr="004D1073">
        <w:rPr>
          <w:sz w:val="24"/>
          <w:u w:val="single"/>
        </w:rPr>
        <w:t>&lt;</w:t>
      </w:r>
      <w:r w:rsidR="004E6497" w:rsidRPr="004D1073">
        <w:rPr>
          <w:sz w:val="24"/>
        </w:rPr>
        <w:t xml:space="preserve"> .5, then </w:t>
      </w:r>
      <w:r w:rsidR="004E6497" w:rsidRPr="004D1073">
        <w:rPr>
          <w:i/>
          <w:sz w:val="24"/>
        </w:rPr>
        <w:t>D</w:t>
      </w:r>
      <w:r w:rsidR="004E6497" w:rsidRPr="004D1073">
        <w:rPr>
          <w:sz w:val="24"/>
        </w:rPr>
        <w:t xml:space="preserve"> = </w:t>
      </w:r>
      <w:r w:rsidR="00733DB8" w:rsidRPr="004D1073">
        <w:rPr>
          <w:sz w:val="24"/>
        </w:rPr>
        <w:t>0</w:t>
      </w:r>
      <w:r w:rsidR="004E6497" w:rsidRPr="004D1073">
        <w:rPr>
          <w:sz w:val="24"/>
        </w:rPr>
        <w:t>.</w:t>
      </w:r>
    </w:p>
    <w:p w:rsidR="003E4E87" w:rsidRPr="004D1073" w:rsidRDefault="00733DB8" w:rsidP="00AA3A39">
      <w:pPr>
        <w:ind w:firstLine="720"/>
        <w:rPr>
          <w:sz w:val="24"/>
        </w:rPr>
      </w:pPr>
      <w:r w:rsidRPr="004D1073">
        <w:rPr>
          <w:sz w:val="24"/>
        </w:rPr>
        <w:t>When survival probability exceeds fifty percent, damages are awarded on the full loss undiscounted by the less than unity survival probability, thus resulting in overcompensa</w:t>
      </w:r>
      <w:r w:rsidR="005075F5" w:rsidRPr="004D1073">
        <w:rPr>
          <w:sz w:val="24"/>
        </w:rPr>
        <w:t>tion.  On the other hand, for</w:t>
      </w:r>
      <w:r w:rsidR="00271F91">
        <w:rPr>
          <w:sz w:val="24"/>
        </w:rPr>
        <w:t xml:space="preserve"> an individual with some</w:t>
      </w:r>
      <w:r w:rsidR="005075F5" w:rsidRPr="004D1073">
        <w:rPr>
          <w:sz w:val="24"/>
        </w:rPr>
        <w:t xml:space="preserve"> chance of survival that happens to be at or below fifty percent, the all-or-nothing rule precludes any award of damages wh</w:t>
      </w:r>
      <w:r w:rsidR="00FA2E99">
        <w:rPr>
          <w:sz w:val="24"/>
        </w:rPr>
        <w:t>atsoever no matter</w:t>
      </w:r>
      <w:r w:rsidR="005075F5" w:rsidRPr="004D1073">
        <w:rPr>
          <w:sz w:val="24"/>
        </w:rPr>
        <w:t xml:space="preserve"> the </w:t>
      </w:r>
      <w:r w:rsidR="00FA2E99">
        <w:rPr>
          <w:sz w:val="24"/>
        </w:rPr>
        <w:t xml:space="preserve">extent of the </w:t>
      </w:r>
      <w:r w:rsidR="005075F5" w:rsidRPr="004D1073">
        <w:rPr>
          <w:sz w:val="24"/>
        </w:rPr>
        <w:t>medical malpractice</w:t>
      </w:r>
      <w:r w:rsidR="00FA2E99">
        <w:rPr>
          <w:sz w:val="24"/>
        </w:rPr>
        <w:t xml:space="preserve"> (since it necessarily cannot be above fifty percent)</w:t>
      </w:r>
      <w:r w:rsidR="005075F5" w:rsidRPr="004D1073">
        <w:rPr>
          <w:sz w:val="24"/>
        </w:rPr>
        <w:t>.  Critics of the all-or-nothing rule have found the application of th</w:t>
      </w:r>
      <w:r w:rsidR="00271F91">
        <w:rPr>
          <w:sz w:val="24"/>
        </w:rPr>
        <w:t>e rule to be unduly harsh in cases in which victims had</w:t>
      </w:r>
      <w:r w:rsidR="005075F5" w:rsidRPr="004D1073">
        <w:rPr>
          <w:sz w:val="24"/>
        </w:rPr>
        <w:t xml:space="preserve"> initial survival probabilities at or </w:t>
      </w:r>
      <w:r w:rsidR="00FA2E99">
        <w:rPr>
          <w:sz w:val="24"/>
        </w:rPr>
        <w:t xml:space="preserve">just </w:t>
      </w:r>
      <w:r w:rsidR="005075F5" w:rsidRPr="004D1073">
        <w:rPr>
          <w:sz w:val="24"/>
        </w:rPr>
        <w:t>below the fifty percent threshold, hence the motivation for modifying the rule</w:t>
      </w:r>
      <w:r w:rsidR="00FA2E99">
        <w:rPr>
          <w:sz w:val="24"/>
        </w:rPr>
        <w:t xml:space="preserve"> (Dahl, 2008 and </w:t>
      </w:r>
      <w:proofErr w:type="spellStart"/>
      <w:r w:rsidR="00FA2E99">
        <w:rPr>
          <w:sz w:val="24"/>
        </w:rPr>
        <w:t>Sebok</w:t>
      </w:r>
      <w:proofErr w:type="spellEnd"/>
      <w:r w:rsidR="00FA2E99">
        <w:rPr>
          <w:sz w:val="24"/>
        </w:rPr>
        <w:t>, 2008)</w:t>
      </w:r>
      <w:r w:rsidR="005075F5" w:rsidRPr="004D1073">
        <w:rPr>
          <w:sz w:val="24"/>
        </w:rPr>
        <w:t xml:space="preserve">. </w:t>
      </w:r>
    </w:p>
    <w:p w:rsidR="004D1073" w:rsidRPr="004D1073" w:rsidRDefault="00AA3A39" w:rsidP="00AA3A39">
      <w:pPr>
        <w:ind w:firstLine="720"/>
        <w:rPr>
          <w:sz w:val="24"/>
        </w:rPr>
      </w:pPr>
      <w:r w:rsidRPr="004D1073">
        <w:rPr>
          <w:sz w:val="24"/>
        </w:rPr>
        <w:t xml:space="preserve">A slightly more relaxed version of the </w:t>
      </w:r>
      <w:r w:rsidR="003E4E87" w:rsidRPr="004D1073">
        <w:rPr>
          <w:sz w:val="24"/>
        </w:rPr>
        <w:t>all-or-nothing rule invokes a “substantial p</w:t>
      </w:r>
      <w:r w:rsidRPr="004D1073">
        <w:rPr>
          <w:sz w:val="24"/>
        </w:rPr>
        <w:t xml:space="preserve">robability” standard, </w:t>
      </w:r>
      <w:r w:rsidR="003E4E87" w:rsidRPr="004D1073">
        <w:rPr>
          <w:sz w:val="24"/>
        </w:rPr>
        <w:t xml:space="preserve">which </w:t>
      </w:r>
      <w:r w:rsidRPr="004D1073">
        <w:rPr>
          <w:sz w:val="24"/>
        </w:rPr>
        <w:t>states that the plaintiff is entitled to the f</w:t>
      </w:r>
      <w:r w:rsidR="003426F0" w:rsidRPr="004D1073">
        <w:rPr>
          <w:sz w:val="24"/>
        </w:rPr>
        <w:t xml:space="preserve">ull amount of damages if it can be shown </w:t>
      </w:r>
      <w:r w:rsidR="001E656A" w:rsidRPr="004D1073">
        <w:rPr>
          <w:sz w:val="24"/>
        </w:rPr>
        <w:t>that</w:t>
      </w:r>
      <w:r w:rsidR="003E4E87" w:rsidRPr="004D1073">
        <w:rPr>
          <w:sz w:val="24"/>
        </w:rPr>
        <w:t xml:space="preserve"> the medical</w:t>
      </w:r>
      <w:r w:rsidRPr="004D1073">
        <w:rPr>
          <w:sz w:val="24"/>
        </w:rPr>
        <w:t xml:space="preserve"> negligence caused a </w:t>
      </w:r>
      <w:r w:rsidRPr="0032272A">
        <w:rPr>
          <w:i/>
          <w:sz w:val="24"/>
        </w:rPr>
        <w:t>significant</w:t>
      </w:r>
      <w:r w:rsidRPr="004D1073">
        <w:rPr>
          <w:sz w:val="24"/>
        </w:rPr>
        <w:t xml:space="preserve"> decrease in the patient’s chan</w:t>
      </w:r>
      <w:r w:rsidR="001E656A" w:rsidRPr="004D1073">
        <w:rPr>
          <w:sz w:val="24"/>
        </w:rPr>
        <w:t>ces of survival, even if the initial survival chance</w:t>
      </w:r>
      <w:r w:rsidRPr="004D1073">
        <w:rPr>
          <w:sz w:val="24"/>
        </w:rPr>
        <w:t xml:space="preserve"> w</w:t>
      </w:r>
      <w:r w:rsidR="001E656A" w:rsidRPr="004D1073">
        <w:rPr>
          <w:sz w:val="24"/>
        </w:rPr>
        <w:t xml:space="preserve">ere </w:t>
      </w:r>
      <w:r w:rsidR="00CE1B35" w:rsidRPr="004D1073">
        <w:rPr>
          <w:sz w:val="24"/>
        </w:rPr>
        <w:t xml:space="preserve">at or </w:t>
      </w:r>
      <w:r w:rsidR="001E656A" w:rsidRPr="004D1073">
        <w:rPr>
          <w:sz w:val="24"/>
        </w:rPr>
        <w:t>less than fifty percent</w:t>
      </w:r>
      <w:r w:rsidR="00CE1B35" w:rsidRPr="004D1073">
        <w:rPr>
          <w:sz w:val="24"/>
        </w:rPr>
        <w:t xml:space="preserve">.  </w:t>
      </w:r>
      <w:r w:rsidR="004D1073" w:rsidRPr="004D1073">
        <w:rPr>
          <w:sz w:val="24"/>
        </w:rPr>
        <w:t>Formally, the rule appears as:</w:t>
      </w:r>
    </w:p>
    <w:p w:rsidR="004D1073" w:rsidRPr="004D1073" w:rsidRDefault="004D1073" w:rsidP="004D1073">
      <w:pPr>
        <w:ind w:firstLine="720"/>
        <w:rPr>
          <w:sz w:val="24"/>
        </w:rPr>
      </w:pPr>
      <w:r w:rsidRPr="004D1073">
        <w:rPr>
          <w:sz w:val="24"/>
        </w:rPr>
        <w:tab/>
        <w:t xml:space="preserve">If </w:t>
      </w:r>
      <w:r w:rsidRPr="004D1073">
        <w:rPr>
          <w:i/>
          <w:sz w:val="24"/>
        </w:rPr>
        <w:t>p</w:t>
      </w:r>
      <w:r w:rsidRPr="004D1073">
        <w:rPr>
          <w:i/>
          <w:sz w:val="24"/>
          <w:vertAlign w:val="subscript"/>
        </w:rPr>
        <w:t>a</w:t>
      </w:r>
      <w:r w:rsidRPr="004D1073">
        <w:rPr>
          <w:sz w:val="24"/>
        </w:rPr>
        <w:t xml:space="preserve"> &gt; </w:t>
      </w:r>
      <w:r w:rsidRPr="004D1073">
        <w:rPr>
          <w:i/>
          <w:sz w:val="24"/>
        </w:rPr>
        <w:t>x</w:t>
      </w:r>
      <w:r w:rsidRPr="004D1073">
        <w:rPr>
          <w:sz w:val="24"/>
        </w:rPr>
        <w:t xml:space="preserve">, then </w:t>
      </w:r>
      <w:r w:rsidRPr="004D1073">
        <w:rPr>
          <w:i/>
          <w:sz w:val="24"/>
        </w:rPr>
        <w:t>D</w:t>
      </w:r>
      <w:r w:rsidRPr="004D1073">
        <w:rPr>
          <w:sz w:val="24"/>
        </w:rPr>
        <w:t xml:space="preserve"> = </w:t>
      </w:r>
      <w:r w:rsidRPr="004D1073">
        <w:rPr>
          <w:i/>
          <w:sz w:val="24"/>
        </w:rPr>
        <w:t>L</w:t>
      </w:r>
    </w:p>
    <w:p w:rsidR="004D1073" w:rsidRPr="004D1073" w:rsidRDefault="004D1073" w:rsidP="004D1073">
      <w:pPr>
        <w:ind w:firstLine="720"/>
        <w:rPr>
          <w:sz w:val="24"/>
        </w:rPr>
      </w:pPr>
      <w:r w:rsidRPr="004D1073">
        <w:rPr>
          <w:sz w:val="24"/>
        </w:rPr>
        <w:tab/>
        <w:t xml:space="preserve">If </w:t>
      </w:r>
      <w:r w:rsidRPr="004D1073">
        <w:rPr>
          <w:i/>
          <w:sz w:val="24"/>
        </w:rPr>
        <w:t>p</w:t>
      </w:r>
      <w:r w:rsidRPr="004D1073">
        <w:rPr>
          <w:i/>
          <w:sz w:val="24"/>
          <w:vertAlign w:val="subscript"/>
        </w:rPr>
        <w:t>a</w:t>
      </w:r>
      <w:r w:rsidRPr="004D1073">
        <w:rPr>
          <w:sz w:val="24"/>
        </w:rPr>
        <w:t xml:space="preserve"> </w:t>
      </w:r>
      <w:r w:rsidRPr="004D1073">
        <w:rPr>
          <w:sz w:val="24"/>
          <w:u w:val="single"/>
        </w:rPr>
        <w:t>&lt;</w:t>
      </w:r>
      <w:r>
        <w:rPr>
          <w:sz w:val="24"/>
        </w:rPr>
        <w:t xml:space="preserve"> </w:t>
      </w:r>
      <w:r w:rsidRPr="004D1073">
        <w:rPr>
          <w:i/>
          <w:sz w:val="24"/>
        </w:rPr>
        <w:t>x</w:t>
      </w:r>
      <w:r w:rsidRPr="004D1073">
        <w:rPr>
          <w:sz w:val="24"/>
        </w:rPr>
        <w:t xml:space="preserve">, then </w:t>
      </w:r>
      <w:r w:rsidRPr="004D1073">
        <w:rPr>
          <w:i/>
          <w:sz w:val="24"/>
        </w:rPr>
        <w:t>D</w:t>
      </w:r>
      <w:r w:rsidRPr="004D1073">
        <w:rPr>
          <w:sz w:val="24"/>
        </w:rPr>
        <w:t xml:space="preserve"> = 0</w:t>
      </w:r>
      <w:r>
        <w:rPr>
          <w:sz w:val="24"/>
        </w:rPr>
        <w:t xml:space="preserve"> </w:t>
      </w:r>
    </w:p>
    <w:p w:rsidR="004D1073" w:rsidRPr="004D1073" w:rsidRDefault="004D1073" w:rsidP="00AA3A39">
      <w:pPr>
        <w:ind w:firstLine="720"/>
        <w:rPr>
          <w:sz w:val="24"/>
        </w:rPr>
      </w:pPr>
      <w:r>
        <w:rPr>
          <w:sz w:val="24"/>
        </w:rPr>
        <w:tab/>
        <w:t xml:space="preserve">With 0 &lt; </w:t>
      </w:r>
      <w:r w:rsidRPr="004D1073">
        <w:rPr>
          <w:i/>
          <w:sz w:val="24"/>
        </w:rPr>
        <w:t>x</w:t>
      </w:r>
      <w:r>
        <w:rPr>
          <w:sz w:val="24"/>
        </w:rPr>
        <w:t xml:space="preserve"> </w:t>
      </w:r>
      <w:r w:rsidRPr="004D1073">
        <w:rPr>
          <w:sz w:val="24"/>
          <w:u w:val="single"/>
        </w:rPr>
        <w:t>&lt;</w:t>
      </w:r>
      <w:r>
        <w:rPr>
          <w:sz w:val="24"/>
        </w:rPr>
        <w:t xml:space="preserve"> .5.</w:t>
      </w:r>
    </w:p>
    <w:p w:rsidR="00CE1B35" w:rsidRPr="004D1073" w:rsidRDefault="00CE1B35" w:rsidP="00AA3A39">
      <w:pPr>
        <w:ind w:firstLine="720"/>
        <w:rPr>
          <w:sz w:val="24"/>
        </w:rPr>
      </w:pPr>
      <w:r w:rsidRPr="004D1073">
        <w:rPr>
          <w:sz w:val="24"/>
        </w:rPr>
        <w:t>The substantial probability</w:t>
      </w:r>
      <w:r w:rsidR="00AA3A39" w:rsidRPr="004D1073">
        <w:rPr>
          <w:sz w:val="24"/>
        </w:rPr>
        <w:t xml:space="preserve"> standard is a b</w:t>
      </w:r>
      <w:r w:rsidRPr="004D1073">
        <w:rPr>
          <w:sz w:val="24"/>
        </w:rPr>
        <w:t xml:space="preserve">it more ambiguous than the all-or-nothing </w:t>
      </w:r>
      <w:r w:rsidR="004D1073">
        <w:rPr>
          <w:sz w:val="24"/>
        </w:rPr>
        <w:t>norm, owi</w:t>
      </w:r>
      <w:r w:rsidR="000F13DC">
        <w:rPr>
          <w:sz w:val="24"/>
        </w:rPr>
        <w:t>ng to the lack of specification</w:t>
      </w:r>
      <w:r w:rsidR="00AA3A39" w:rsidRPr="004D1073">
        <w:rPr>
          <w:sz w:val="24"/>
        </w:rPr>
        <w:t xml:space="preserve"> ass</w:t>
      </w:r>
      <w:r w:rsidR="000F13DC">
        <w:rPr>
          <w:sz w:val="24"/>
        </w:rPr>
        <w:t>igned to the word “significant,</w:t>
      </w:r>
      <w:r w:rsidR="001E656A" w:rsidRPr="004D1073">
        <w:rPr>
          <w:sz w:val="24"/>
        </w:rPr>
        <w:t>”</w:t>
      </w:r>
      <w:r w:rsidR="000F13DC">
        <w:rPr>
          <w:sz w:val="24"/>
        </w:rPr>
        <w:t xml:space="preserve"> which may differ across jurisdictions.</w:t>
      </w:r>
      <w:r w:rsidR="00AA3A39" w:rsidRPr="004D1073">
        <w:rPr>
          <w:sz w:val="24"/>
        </w:rPr>
        <w:t xml:space="preserve">  </w:t>
      </w:r>
      <w:r w:rsidR="00FB29F3">
        <w:rPr>
          <w:sz w:val="24"/>
        </w:rPr>
        <w:t>Note also that</w:t>
      </w:r>
      <w:r w:rsidR="004D1073">
        <w:rPr>
          <w:sz w:val="24"/>
        </w:rPr>
        <w:t xml:space="preserve"> overcompensation continues to occur when the </w:t>
      </w:r>
      <w:r w:rsidR="0032272A">
        <w:rPr>
          <w:sz w:val="24"/>
        </w:rPr>
        <w:t xml:space="preserve">initial </w:t>
      </w:r>
      <w:r w:rsidR="004D1073">
        <w:rPr>
          <w:sz w:val="24"/>
        </w:rPr>
        <w:t>survival probability is greater than fifty percent, just as with the all-or-nothing rule.</w:t>
      </w:r>
    </w:p>
    <w:p w:rsidR="00CF2744" w:rsidRPr="001723F2" w:rsidRDefault="00AA3A39" w:rsidP="00CF2744">
      <w:pPr>
        <w:ind w:firstLine="720"/>
        <w:rPr>
          <w:sz w:val="24"/>
        </w:rPr>
      </w:pPr>
      <w:r w:rsidRPr="004D1073">
        <w:rPr>
          <w:sz w:val="24"/>
        </w:rPr>
        <w:t xml:space="preserve">The third and final variation of the rule </w:t>
      </w:r>
      <w:r w:rsidR="000F13DC">
        <w:rPr>
          <w:sz w:val="24"/>
        </w:rPr>
        <w:t xml:space="preserve">considered by </w:t>
      </w:r>
      <w:proofErr w:type="spellStart"/>
      <w:r w:rsidR="000F13DC">
        <w:rPr>
          <w:sz w:val="24"/>
        </w:rPr>
        <w:t>Frasca</w:t>
      </w:r>
      <w:proofErr w:type="spellEnd"/>
      <w:r w:rsidR="000F13DC">
        <w:rPr>
          <w:sz w:val="24"/>
        </w:rPr>
        <w:t xml:space="preserve"> (2009) </w:t>
      </w:r>
      <w:r w:rsidRPr="004D1073">
        <w:rPr>
          <w:sz w:val="24"/>
        </w:rPr>
        <w:t xml:space="preserve">is </w:t>
      </w:r>
      <w:r w:rsidR="001E656A" w:rsidRPr="004D1073">
        <w:rPr>
          <w:sz w:val="24"/>
        </w:rPr>
        <w:t xml:space="preserve">the </w:t>
      </w:r>
      <w:r w:rsidR="000F13DC">
        <w:rPr>
          <w:sz w:val="24"/>
        </w:rPr>
        <w:t>“incremental loss of c</w:t>
      </w:r>
      <w:r w:rsidRPr="004D1073">
        <w:rPr>
          <w:sz w:val="24"/>
        </w:rPr>
        <w:t xml:space="preserve">hance </w:t>
      </w:r>
      <w:r w:rsidR="000F13DC">
        <w:rPr>
          <w:sz w:val="24"/>
        </w:rPr>
        <w:t>r</w:t>
      </w:r>
      <w:r w:rsidR="001E656A" w:rsidRPr="004D1073">
        <w:rPr>
          <w:sz w:val="24"/>
        </w:rPr>
        <w:t>ule.”</w:t>
      </w:r>
      <w:r w:rsidRPr="004D1073">
        <w:rPr>
          <w:sz w:val="24"/>
        </w:rPr>
        <w:t xml:space="preserve">  Under this versio</w:t>
      </w:r>
      <w:r w:rsidR="000F13DC">
        <w:rPr>
          <w:sz w:val="24"/>
        </w:rPr>
        <w:t>n, full compensation is</w:t>
      </w:r>
      <w:r w:rsidR="00046816" w:rsidRPr="004D1073">
        <w:rPr>
          <w:sz w:val="24"/>
        </w:rPr>
        <w:t xml:space="preserve"> a</w:t>
      </w:r>
      <w:r w:rsidRPr="004D1073">
        <w:rPr>
          <w:sz w:val="24"/>
        </w:rPr>
        <w:t xml:space="preserve">warded </w:t>
      </w:r>
      <w:r w:rsidR="001E656A" w:rsidRPr="004D1073">
        <w:rPr>
          <w:sz w:val="24"/>
        </w:rPr>
        <w:t>if negligence lowers the chance of survival to</w:t>
      </w:r>
      <w:r w:rsidR="00FB29F3">
        <w:rPr>
          <w:sz w:val="24"/>
        </w:rPr>
        <w:t xml:space="preserve"> below fifty</w:t>
      </w:r>
      <w:r w:rsidRPr="004D1073">
        <w:rPr>
          <w:sz w:val="24"/>
        </w:rPr>
        <w:t xml:space="preserve"> percent</w:t>
      </w:r>
      <w:r w:rsidR="001E656A" w:rsidRPr="004D1073">
        <w:rPr>
          <w:sz w:val="24"/>
        </w:rPr>
        <w:t xml:space="preserve"> from an above fifty percent level initially</w:t>
      </w:r>
      <w:r w:rsidR="000F13DC">
        <w:rPr>
          <w:sz w:val="24"/>
        </w:rPr>
        <w:t>.  If</w:t>
      </w:r>
      <w:r w:rsidR="001E656A" w:rsidRPr="004D1073">
        <w:rPr>
          <w:sz w:val="24"/>
        </w:rPr>
        <w:t xml:space="preserve"> the patient’s survival chance is initially less than fifty percent</w:t>
      </w:r>
      <w:r w:rsidRPr="004D1073">
        <w:rPr>
          <w:sz w:val="24"/>
        </w:rPr>
        <w:t>,</w:t>
      </w:r>
      <w:r w:rsidR="001E656A" w:rsidRPr="004D1073">
        <w:rPr>
          <w:sz w:val="24"/>
        </w:rPr>
        <w:t xml:space="preserve"> </w:t>
      </w:r>
      <w:r w:rsidR="000F13DC">
        <w:rPr>
          <w:sz w:val="24"/>
        </w:rPr>
        <w:t xml:space="preserve">however, </w:t>
      </w:r>
      <w:r w:rsidR="001E656A" w:rsidRPr="004D1073">
        <w:rPr>
          <w:sz w:val="24"/>
        </w:rPr>
        <w:t>the decrease in survival probability</w:t>
      </w:r>
      <w:r w:rsidRPr="004D1073">
        <w:rPr>
          <w:sz w:val="24"/>
        </w:rPr>
        <w:t xml:space="preserve"> is calculated </w:t>
      </w:r>
      <w:r w:rsidR="001E656A" w:rsidRPr="004D1073">
        <w:rPr>
          <w:sz w:val="24"/>
        </w:rPr>
        <w:t xml:space="preserve">and </w:t>
      </w:r>
      <w:r w:rsidR="00FB29F3">
        <w:rPr>
          <w:sz w:val="24"/>
        </w:rPr>
        <w:t>then</w:t>
      </w:r>
      <w:r w:rsidRPr="004D1073">
        <w:rPr>
          <w:sz w:val="24"/>
        </w:rPr>
        <w:t xml:space="preserve"> multipli</w:t>
      </w:r>
      <w:r w:rsidR="000F13DC">
        <w:rPr>
          <w:sz w:val="24"/>
        </w:rPr>
        <w:t>ed by the full value of damages, so</w:t>
      </w:r>
      <w:r w:rsidR="00FB29F3">
        <w:rPr>
          <w:sz w:val="24"/>
        </w:rPr>
        <w:t xml:space="preserve"> the award</w:t>
      </w:r>
      <w:r w:rsidRPr="004D1073">
        <w:rPr>
          <w:sz w:val="24"/>
        </w:rPr>
        <w:t xml:space="preserve"> is proportional </w:t>
      </w:r>
      <w:r w:rsidR="001E656A" w:rsidRPr="004D1073">
        <w:rPr>
          <w:sz w:val="24"/>
        </w:rPr>
        <w:t xml:space="preserve">to </w:t>
      </w:r>
      <w:r w:rsidRPr="004D1073">
        <w:rPr>
          <w:sz w:val="24"/>
        </w:rPr>
        <w:t xml:space="preserve">the </w:t>
      </w:r>
      <w:r w:rsidR="001E656A" w:rsidRPr="004D1073">
        <w:rPr>
          <w:sz w:val="24"/>
        </w:rPr>
        <w:t xml:space="preserve">incremental </w:t>
      </w:r>
      <w:r w:rsidRPr="004D1073">
        <w:rPr>
          <w:sz w:val="24"/>
        </w:rPr>
        <w:t xml:space="preserve">decrease in </w:t>
      </w:r>
      <w:r w:rsidR="00CF2744">
        <w:rPr>
          <w:sz w:val="24"/>
        </w:rPr>
        <w:t>chance.  Formally, let</w:t>
      </w:r>
      <w:r w:rsidR="00CF2744">
        <w:t xml:space="preserve"> </w:t>
      </w:r>
      <w:proofErr w:type="spellStart"/>
      <w:proofErr w:type="gramStart"/>
      <w:r w:rsidR="00CF2744">
        <w:rPr>
          <w:i/>
        </w:rPr>
        <w:t>p</w:t>
      </w:r>
      <w:r w:rsidR="00CF2744">
        <w:rPr>
          <w:i/>
          <w:vertAlign w:val="subscript"/>
        </w:rPr>
        <w:t>b</w:t>
      </w:r>
      <w:proofErr w:type="spellEnd"/>
      <w:proofErr w:type="gramEnd"/>
      <w:r w:rsidR="00CF2744">
        <w:t xml:space="preserve"> be the probability of survival post negligent action</w:t>
      </w:r>
      <w:r w:rsidR="0032272A">
        <w:t>.  T</w:t>
      </w:r>
      <w:r w:rsidR="00CF2744">
        <w:t xml:space="preserve">he incremental loss of chance rule may be defined, correcting </w:t>
      </w:r>
      <w:r w:rsidR="00CF2744" w:rsidRPr="001723F2">
        <w:rPr>
          <w:sz w:val="24"/>
        </w:rPr>
        <w:t xml:space="preserve">typographical errors in </w:t>
      </w:r>
      <w:proofErr w:type="spellStart"/>
      <w:r w:rsidR="00CF2744" w:rsidRPr="001723F2">
        <w:rPr>
          <w:sz w:val="24"/>
        </w:rPr>
        <w:t>Frasca</w:t>
      </w:r>
      <w:proofErr w:type="spellEnd"/>
      <w:r w:rsidR="00CF2744" w:rsidRPr="001723F2">
        <w:rPr>
          <w:sz w:val="24"/>
        </w:rPr>
        <w:t xml:space="preserve"> (2009, p. 100), as:</w:t>
      </w:r>
    </w:p>
    <w:p w:rsidR="00CF2744" w:rsidRPr="001723F2" w:rsidRDefault="00CF2744" w:rsidP="00CF2744">
      <w:pPr>
        <w:ind w:firstLine="720"/>
        <w:rPr>
          <w:sz w:val="24"/>
        </w:rPr>
      </w:pPr>
      <w:r w:rsidRPr="001723F2">
        <w:rPr>
          <w:sz w:val="24"/>
        </w:rPr>
        <w:tab/>
        <w:t xml:space="preserve">If </w:t>
      </w:r>
      <w:r w:rsidRPr="001723F2">
        <w:rPr>
          <w:i/>
          <w:sz w:val="24"/>
        </w:rPr>
        <w:t>p</w:t>
      </w:r>
      <w:r w:rsidRPr="001723F2">
        <w:rPr>
          <w:i/>
          <w:sz w:val="24"/>
          <w:vertAlign w:val="subscript"/>
        </w:rPr>
        <w:t>a</w:t>
      </w:r>
      <w:r w:rsidRPr="001723F2">
        <w:rPr>
          <w:sz w:val="24"/>
        </w:rPr>
        <w:t xml:space="preserve"> &gt; .5, then </w:t>
      </w:r>
      <w:r w:rsidRPr="001723F2">
        <w:rPr>
          <w:i/>
          <w:sz w:val="24"/>
        </w:rPr>
        <w:t>D</w:t>
      </w:r>
      <w:r w:rsidRPr="001723F2">
        <w:rPr>
          <w:sz w:val="24"/>
        </w:rPr>
        <w:t xml:space="preserve"> = </w:t>
      </w:r>
      <w:r w:rsidRPr="001723F2">
        <w:rPr>
          <w:i/>
          <w:sz w:val="24"/>
        </w:rPr>
        <w:t>L</w:t>
      </w:r>
      <w:r w:rsidRPr="001723F2">
        <w:rPr>
          <w:sz w:val="24"/>
        </w:rPr>
        <w:t>.</w:t>
      </w:r>
    </w:p>
    <w:p w:rsidR="00CF2744" w:rsidRPr="001723F2" w:rsidRDefault="00CF2744" w:rsidP="00CF2744">
      <w:pPr>
        <w:ind w:firstLine="720"/>
        <w:rPr>
          <w:sz w:val="24"/>
        </w:rPr>
      </w:pPr>
      <w:r w:rsidRPr="001723F2">
        <w:rPr>
          <w:sz w:val="24"/>
        </w:rPr>
        <w:tab/>
        <w:t xml:space="preserve">If </w:t>
      </w:r>
      <w:r w:rsidRPr="001723F2">
        <w:rPr>
          <w:i/>
          <w:sz w:val="24"/>
        </w:rPr>
        <w:t>p</w:t>
      </w:r>
      <w:r w:rsidRPr="001723F2">
        <w:rPr>
          <w:i/>
          <w:sz w:val="24"/>
          <w:vertAlign w:val="subscript"/>
        </w:rPr>
        <w:t>a</w:t>
      </w:r>
      <w:r w:rsidRPr="001723F2">
        <w:rPr>
          <w:sz w:val="24"/>
        </w:rPr>
        <w:t xml:space="preserve"> </w:t>
      </w:r>
      <w:r w:rsidRPr="001723F2">
        <w:rPr>
          <w:sz w:val="24"/>
          <w:u w:val="single"/>
        </w:rPr>
        <w:t>&lt;</w:t>
      </w:r>
      <w:r w:rsidRPr="001723F2">
        <w:rPr>
          <w:sz w:val="24"/>
        </w:rPr>
        <w:t xml:space="preserve"> .5, then </w:t>
      </w:r>
      <w:r w:rsidRPr="001723F2">
        <w:rPr>
          <w:i/>
          <w:sz w:val="24"/>
        </w:rPr>
        <w:t>D</w:t>
      </w:r>
      <w:r w:rsidRPr="001723F2">
        <w:rPr>
          <w:sz w:val="24"/>
        </w:rPr>
        <w:t xml:space="preserve"> = (</w:t>
      </w:r>
      <w:r w:rsidRPr="001723F2">
        <w:rPr>
          <w:i/>
          <w:sz w:val="24"/>
        </w:rPr>
        <w:t>p</w:t>
      </w:r>
      <w:r w:rsidRPr="001723F2">
        <w:rPr>
          <w:i/>
          <w:sz w:val="24"/>
          <w:vertAlign w:val="subscript"/>
        </w:rPr>
        <w:t>a</w:t>
      </w:r>
      <w:r w:rsidRPr="001723F2">
        <w:rPr>
          <w:sz w:val="24"/>
        </w:rPr>
        <w:t xml:space="preserve"> – </w:t>
      </w:r>
      <w:proofErr w:type="spellStart"/>
      <w:proofErr w:type="gramStart"/>
      <w:r w:rsidRPr="001723F2">
        <w:rPr>
          <w:i/>
          <w:sz w:val="24"/>
        </w:rPr>
        <w:t>p</w:t>
      </w:r>
      <w:r w:rsidRPr="001723F2">
        <w:rPr>
          <w:i/>
          <w:sz w:val="24"/>
          <w:vertAlign w:val="subscript"/>
        </w:rPr>
        <w:t>b</w:t>
      </w:r>
      <w:proofErr w:type="spellEnd"/>
      <w:r w:rsidRPr="001723F2">
        <w:rPr>
          <w:sz w:val="24"/>
        </w:rPr>
        <w:t>)</w:t>
      </w:r>
      <w:r w:rsidRPr="001723F2">
        <w:rPr>
          <w:i/>
          <w:sz w:val="24"/>
        </w:rPr>
        <w:t>L</w:t>
      </w:r>
      <w:proofErr w:type="gramEnd"/>
      <w:r w:rsidRPr="001723F2">
        <w:rPr>
          <w:sz w:val="24"/>
        </w:rPr>
        <w:t>.</w:t>
      </w:r>
    </w:p>
    <w:p w:rsidR="001723F2" w:rsidRDefault="000A5DC8" w:rsidP="001723F2">
      <w:pPr>
        <w:ind w:firstLine="720"/>
        <w:rPr>
          <w:sz w:val="24"/>
          <w:szCs w:val="24"/>
        </w:rPr>
      </w:pPr>
      <w:r w:rsidRPr="001723F2">
        <w:rPr>
          <w:sz w:val="24"/>
        </w:rPr>
        <w:t xml:space="preserve">To give a sense of the </w:t>
      </w:r>
      <w:r w:rsidR="00D83A1D" w:rsidRPr="001723F2">
        <w:rPr>
          <w:sz w:val="24"/>
        </w:rPr>
        <w:t xml:space="preserve">straightforward </w:t>
      </w:r>
      <w:r w:rsidRPr="001723F2">
        <w:rPr>
          <w:sz w:val="24"/>
        </w:rPr>
        <w:t xml:space="preserve">application of the incremental loss of chance rule, the Massachusetts Supreme Judicial Court in </w:t>
      </w:r>
      <w:r w:rsidR="00D83A1D" w:rsidRPr="001723F2">
        <w:rPr>
          <w:i/>
          <w:sz w:val="24"/>
        </w:rPr>
        <w:t xml:space="preserve">Matsuyama v. </w:t>
      </w:r>
      <w:proofErr w:type="spellStart"/>
      <w:r w:rsidR="00D83A1D" w:rsidRPr="001723F2">
        <w:rPr>
          <w:i/>
          <w:sz w:val="24"/>
        </w:rPr>
        <w:t>Birnbaum</w:t>
      </w:r>
      <w:proofErr w:type="spellEnd"/>
      <w:r w:rsidR="00D83A1D" w:rsidRPr="001723F2">
        <w:rPr>
          <w:sz w:val="24"/>
        </w:rPr>
        <w:t xml:space="preserve"> (2008, p. 27)</w:t>
      </w:r>
      <w:r w:rsidR="00D0201D">
        <w:rPr>
          <w:sz w:val="24"/>
        </w:rPr>
        <w:t xml:space="preserve"> </w:t>
      </w:r>
      <w:r w:rsidR="00D83A1D" w:rsidRPr="001723F2">
        <w:rPr>
          <w:sz w:val="24"/>
        </w:rPr>
        <w:t>described the application</w:t>
      </w:r>
      <w:r w:rsidR="0032272A">
        <w:rPr>
          <w:sz w:val="24"/>
        </w:rPr>
        <w:t xml:space="preserve"> in specific language that</w:t>
      </w:r>
      <w:r w:rsidR="00D83A1D" w:rsidRPr="001723F2">
        <w:rPr>
          <w:sz w:val="24"/>
        </w:rPr>
        <w:t xml:space="preserve"> made </w:t>
      </w:r>
      <w:r w:rsidR="001723F2" w:rsidRPr="001723F2">
        <w:rPr>
          <w:sz w:val="24"/>
        </w:rPr>
        <w:t xml:space="preserve">its way into the </w:t>
      </w:r>
      <w:r w:rsidR="001723F2" w:rsidRPr="001723F2">
        <w:rPr>
          <w:i/>
          <w:sz w:val="24"/>
          <w:szCs w:val="24"/>
        </w:rPr>
        <w:t>Massachusetts Superior Court Civil Practice Jury Instructions</w:t>
      </w:r>
      <w:r w:rsidR="0032272A">
        <w:rPr>
          <w:i/>
          <w:sz w:val="24"/>
          <w:szCs w:val="24"/>
        </w:rPr>
        <w:t>, 2</w:t>
      </w:r>
      <w:r w:rsidR="0032272A" w:rsidRPr="0032272A">
        <w:rPr>
          <w:i/>
          <w:sz w:val="24"/>
          <w:szCs w:val="24"/>
          <w:vertAlign w:val="superscript"/>
        </w:rPr>
        <w:t>nd</w:t>
      </w:r>
      <w:r w:rsidR="0032272A">
        <w:rPr>
          <w:i/>
          <w:sz w:val="24"/>
          <w:szCs w:val="24"/>
        </w:rPr>
        <w:t xml:space="preserve"> ed.</w:t>
      </w:r>
      <w:r w:rsidR="001723F2">
        <w:rPr>
          <w:sz w:val="24"/>
          <w:szCs w:val="24"/>
        </w:rPr>
        <w:t xml:space="preserve"> (</w:t>
      </w:r>
      <w:r w:rsidR="001723F2" w:rsidRPr="001723F2">
        <w:rPr>
          <w:sz w:val="24"/>
          <w:szCs w:val="24"/>
        </w:rPr>
        <w:t>2008</w:t>
      </w:r>
      <w:r w:rsidR="001723F2">
        <w:rPr>
          <w:sz w:val="24"/>
          <w:szCs w:val="24"/>
        </w:rPr>
        <w:t xml:space="preserve">, </w:t>
      </w:r>
      <w:r w:rsidR="001723F2" w:rsidRPr="001723F2">
        <w:rPr>
          <w:rFonts w:cs="Times New Roman"/>
          <w:sz w:val="24"/>
          <w:szCs w:val="26"/>
        </w:rPr>
        <w:t>§ 4.7.1</w:t>
      </w:r>
      <w:r w:rsidR="001723F2" w:rsidRPr="001723F2">
        <w:rPr>
          <w:sz w:val="24"/>
          <w:szCs w:val="24"/>
        </w:rPr>
        <w:t>)</w:t>
      </w:r>
      <w:r w:rsidR="001723F2">
        <w:rPr>
          <w:sz w:val="24"/>
          <w:szCs w:val="24"/>
        </w:rPr>
        <w:t>:</w:t>
      </w:r>
    </w:p>
    <w:p w:rsidR="00CC6C3D" w:rsidRPr="00CC6C3D" w:rsidRDefault="00CC6C3D" w:rsidP="00CC6C3D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ab/>
      </w:r>
      <w:r w:rsidRPr="00CC6C3D">
        <w:rPr>
          <w:rFonts w:cs="Times New Roman"/>
          <w:color w:val="000000"/>
          <w:sz w:val="20"/>
        </w:rPr>
        <w:t>(1) The fact finder must first calculate the total amount of damages allowable for the death under the</w:t>
      </w:r>
      <w:r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ab/>
      </w:r>
      <w:r w:rsidRPr="00CC6C3D">
        <w:rPr>
          <w:rFonts w:cs="Times New Roman"/>
          <w:color w:val="000000"/>
          <w:sz w:val="20"/>
        </w:rPr>
        <w:t>wrongful death statute, G. L. c. 229, § 2, or, in the case of medical malpractice not resulting in death, the</w:t>
      </w:r>
      <w:r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ab/>
      </w:r>
      <w:r w:rsidRPr="00CC6C3D">
        <w:rPr>
          <w:rFonts w:cs="Times New Roman"/>
          <w:color w:val="000000"/>
          <w:sz w:val="20"/>
        </w:rPr>
        <w:t>full amount of damages allowable for the injury. This is the amount to which the decedent would be</w:t>
      </w:r>
      <w:r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ab/>
      </w:r>
      <w:r w:rsidRPr="00CC6C3D">
        <w:rPr>
          <w:rFonts w:cs="Times New Roman"/>
          <w:color w:val="000000"/>
          <w:sz w:val="20"/>
        </w:rPr>
        <w:t>entitled if the case were not a loss of chance case: the full amount of compensation for the decedent's</w:t>
      </w:r>
      <w:r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ab/>
      </w:r>
      <w:r w:rsidRPr="00CC6C3D">
        <w:rPr>
          <w:rFonts w:cs="Times New Roman"/>
          <w:color w:val="000000"/>
          <w:sz w:val="20"/>
        </w:rPr>
        <w:t xml:space="preserve">death or injury. </w:t>
      </w:r>
    </w:p>
    <w:p w:rsidR="00CC6C3D" w:rsidRPr="00CC6C3D" w:rsidRDefault="00CC6C3D" w:rsidP="00CC6C3D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ab/>
      </w:r>
      <w:r w:rsidRPr="00CC6C3D">
        <w:rPr>
          <w:rFonts w:cs="Times New Roman"/>
          <w:color w:val="000000"/>
          <w:sz w:val="20"/>
        </w:rPr>
        <w:t>(2) The fact finder must next calculate the patient's chance of survival or cure immediately preceding</w:t>
      </w:r>
      <w:r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ab/>
      </w:r>
      <w:r w:rsidRPr="00CC6C3D">
        <w:rPr>
          <w:rFonts w:cs="Times New Roman"/>
          <w:color w:val="000000"/>
          <w:sz w:val="20"/>
        </w:rPr>
        <w:t>("but for") the medical malpractice.</w:t>
      </w:r>
    </w:p>
    <w:p w:rsidR="00CC6C3D" w:rsidRPr="00CC6C3D" w:rsidRDefault="00CC6C3D" w:rsidP="00CC6C3D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ab/>
      </w:r>
      <w:r w:rsidRPr="00CC6C3D">
        <w:rPr>
          <w:rFonts w:cs="Times New Roman"/>
          <w:color w:val="000000"/>
          <w:sz w:val="20"/>
        </w:rPr>
        <w:t>(3) The fact finder must then calculate the chance of survival or cure that the patient had as a result of</w:t>
      </w:r>
      <w:r>
        <w:rPr>
          <w:rFonts w:cs="Times New Roman"/>
          <w:color w:val="000000"/>
          <w:sz w:val="20"/>
        </w:rPr>
        <w:t xml:space="preserve"> </w:t>
      </w:r>
      <w:r w:rsidRPr="00CC6C3D">
        <w:rPr>
          <w:rFonts w:cs="Times New Roman"/>
          <w:color w:val="000000"/>
          <w:sz w:val="20"/>
        </w:rPr>
        <w:t xml:space="preserve">the </w:t>
      </w:r>
      <w:r>
        <w:rPr>
          <w:rFonts w:cs="Times New Roman"/>
          <w:color w:val="000000"/>
          <w:sz w:val="20"/>
        </w:rPr>
        <w:tab/>
      </w:r>
      <w:r w:rsidRPr="00CC6C3D">
        <w:rPr>
          <w:rFonts w:cs="Times New Roman"/>
          <w:color w:val="000000"/>
          <w:sz w:val="20"/>
        </w:rPr>
        <w:t>medical malpractice.</w:t>
      </w:r>
    </w:p>
    <w:p w:rsidR="00CC6C3D" w:rsidRPr="00CC6C3D" w:rsidRDefault="00CC6C3D" w:rsidP="00CC6C3D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ab/>
      </w:r>
      <w:r w:rsidRPr="00CC6C3D">
        <w:rPr>
          <w:rFonts w:cs="Times New Roman"/>
          <w:color w:val="000000"/>
          <w:sz w:val="20"/>
        </w:rPr>
        <w:t>(4) The fact finder must then subtract the amount derived in step 3 from the amount derived in step 2.</w:t>
      </w:r>
    </w:p>
    <w:p w:rsidR="00CC6C3D" w:rsidRPr="00B76FFC" w:rsidRDefault="00CC6C3D" w:rsidP="00B76FFC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ab/>
      </w:r>
      <w:r w:rsidRPr="00CC6C3D">
        <w:rPr>
          <w:rFonts w:cs="Times New Roman"/>
          <w:color w:val="000000"/>
          <w:sz w:val="20"/>
        </w:rPr>
        <w:t>(5) The fact finder must then multiply the amount determined in step 1 by the percentage calculated in</w:t>
      </w:r>
      <w:r>
        <w:rPr>
          <w:rFonts w:cs="Times New Roman"/>
          <w:color w:val="000000"/>
          <w:sz w:val="20"/>
        </w:rPr>
        <w:t xml:space="preserve"> </w:t>
      </w:r>
      <w:r w:rsidR="009A51D5">
        <w:rPr>
          <w:rFonts w:cs="Times New Roman"/>
          <w:color w:val="000000"/>
          <w:sz w:val="20"/>
        </w:rPr>
        <w:tab/>
      </w:r>
      <w:r w:rsidRPr="00CC6C3D">
        <w:rPr>
          <w:rFonts w:cs="Times New Roman"/>
          <w:color w:val="000000"/>
          <w:sz w:val="20"/>
        </w:rPr>
        <w:t>s</w:t>
      </w:r>
      <w:r w:rsidR="009A51D5">
        <w:rPr>
          <w:rFonts w:cs="Times New Roman"/>
          <w:color w:val="000000"/>
          <w:sz w:val="20"/>
        </w:rPr>
        <w:t xml:space="preserve">tep </w:t>
      </w:r>
      <w:r w:rsidRPr="00CC6C3D">
        <w:rPr>
          <w:rFonts w:cs="Times New Roman"/>
          <w:color w:val="000000"/>
          <w:sz w:val="20"/>
        </w:rPr>
        <w:t>4 to derive the proportional damages award for loss of chance.</w:t>
      </w:r>
    </w:p>
    <w:p w:rsidR="006D72B7" w:rsidRDefault="006D72B7" w:rsidP="006D72B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4"/>
        </w:rPr>
      </w:pPr>
    </w:p>
    <w:p w:rsidR="006D72B7" w:rsidRPr="00EC7C2B" w:rsidRDefault="00337E51" w:rsidP="006D72B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4"/>
        </w:rPr>
      </w:pPr>
      <w:r w:rsidRPr="00EC7C2B">
        <w:rPr>
          <w:b/>
          <w:sz w:val="24"/>
        </w:rPr>
        <w:t xml:space="preserve">State Variation in the Application of </w:t>
      </w:r>
      <w:r w:rsidR="00FA2E99">
        <w:rPr>
          <w:b/>
          <w:sz w:val="24"/>
        </w:rPr>
        <w:t xml:space="preserve">Incremental </w:t>
      </w:r>
      <w:r w:rsidRPr="00EC7C2B">
        <w:rPr>
          <w:b/>
          <w:sz w:val="24"/>
        </w:rPr>
        <w:t>Loss of Chance</w:t>
      </w:r>
    </w:p>
    <w:p w:rsidR="00CF2744" w:rsidRPr="006D72B7" w:rsidRDefault="00CF2744" w:rsidP="006D72B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4"/>
        </w:rPr>
      </w:pPr>
    </w:p>
    <w:p w:rsidR="00DC5F8E" w:rsidRDefault="00E14A7F" w:rsidP="00295333">
      <w:pPr>
        <w:ind w:firstLine="720"/>
        <w:rPr>
          <w:sz w:val="24"/>
        </w:rPr>
      </w:pPr>
      <w:r w:rsidRPr="004D1073">
        <w:rPr>
          <w:sz w:val="24"/>
        </w:rPr>
        <w:t xml:space="preserve">Using the cases and categorization found </w:t>
      </w:r>
      <w:r w:rsidR="00F750BC">
        <w:rPr>
          <w:sz w:val="24"/>
        </w:rPr>
        <w:t xml:space="preserve">in Koch (2010) </w:t>
      </w:r>
      <w:r w:rsidR="006D72B7">
        <w:rPr>
          <w:sz w:val="24"/>
        </w:rPr>
        <w:t>as a starting point, each s</w:t>
      </w:r>
      <w:r w:rsidR="0077429E">
        <w:rPr>
          <w:sz w:val="24"/>
        </w:rPr>
        <w:t xml:space="preserve">tate’s stance on the </w:t>
      </w:r>
      <w:r w:rsidR="00FA2E99">
        <w:rPr>
          <w:sz w:val="24"/>
        </w:rPr>
        <w:t xml:space="preserve">incremental </w:t>
      </w:r>
      <w:r w:rsidR="0077429E">
        <w:rPr>
          <w:sz w:val="24"/>
        </w:rPr>
        <w:t>loss of chance rule</w:t>
      </w:r>
      <w:r w:rsidR="00F750BC">
        <w:rPr>
          <w:sz w:val="24"/>
        </w:rPr>
        <w:t xml:space="preserve"> was investigated</w:t>
      </w:r>
      <w:r w:rsidRPr="004D1073">
        <w:rPr>
          <w:sz w:val="24"/>
        </w:rPr>
        <w:t xml:space="preserve"> to create a comprehensive</w:t>
      </w:r>
      <w:r w:rsidR="00192357">
        <w:rPr>
          <w:sz w:val="24"/>
        </w:rPr>
        <w:t xml:space="preserve">, detailed </w:t>
      </w:r>
      <w:r w:rsidRPr="004D1073">
        <w:rPr>
          <w:sz w:val="24"/>
        </w:rPr>
        <w:t>table</w:t>
      </w:r>
      <w:r w:rsidR="00192357">
        <w:rPr>
          <w:sz w:val="24"/>
        </w:rPr>
        <w:t xml:space="preserve"> (appended)</w:t>
      </w:r>
      <w:r w:rsidRPr="004D1073">
        <w:rPr>
          <w:sz w:val="24"/>
        </w:rPr>
        <w:t>,</w:t>
      </w:r>
      <w:r w:rsidR="009474D0" w:rsidRPr="004D1073">
        <w:rPr>
          <w:sz w:val="24"/>
        </w:rPr>
        <w:t xml:space="preserve"> current as of July</w:t>
      </w:r>
      <w:r w:rsidR="00295333" w:rsidRPr="004D1073">
        <w:rPr>
          <w:sz w:val="24"/>
        </w:rPr>
        <w:t xml:space="preserve"> 2013.  The p</w:t>
      </w:r>
      <w:r w:rsidRPr="004D1073">
        <w:rPr>
          <w:sz w:val="24"/>
        </w:rPr>
        <w:t xml:space="preserve">rocess included searching the aforementioned cases, </w:t>
      </w:r>
      <w:proofErr w:type="spellStart"/>
      <w:r w:rsidRPr="004D1073">
        <w:rPr>
          <w:sz w:val="24"/>
        </w:rPr>
        <w:t>Shepardizing</w:t>
      </w:r>
      <w:proofErr w:type="spellEnd"/>
      <w:r w:rsidRPr="004D1073">
        <w:rPr>
          <w:sz w:val="24"/>
        </w:rPr>
        <w:t xml:space="preserve"> for any recent alterations to the law, then comin</w:t>
      </w:r>
      <w:r w:rsidR="0077429E">
        <w:rPr>
          <w:sz w:val="24"/>
        </w:rPr>
        <w:t>g to a conclusion regarding each state’s version</w:t>
      </w:r>
      <w:r w:rsidRPr="004D1073">
        <w:rPr>
          <w:sz w:val="24"/>
        </w:rPr>
        <w:t>.  An addition</w:t>
      </w:r>
      <w:r w:rsidR="009474D0" w:rsidRPr="004D1073">
        <w:rPr>
          <w:sz w:val="24"/>
        </w:rPr>
        <w:t>al</w:t>
      </w:r>
      <w:r w:rsidRPr="004D1073">
        <w:rPr>
          <w:sz w:val="24"/>
        </w:rPr>
        <w:t xml:space="preserve"> </w:t>
      </w:r>
      <w:r w:rsidR="00192357">
        <w:rPr>
          <w:sz w:val="24"/>
        </w:rPr>
        <w:t xml:space="preserve">Lexis-Nexis </w:t>
      </w:r>
      <w:r w:rsidRPr="004D1073">
        <w:rPr>
          <w:sz w:val="24"/>
        </w:rPr>
        <w:t>search</w:t>
      </w:r>
      <w:r w:rsidR="00234709" w:rsidRPr="004D1073">
        <w:rPr>
          <w:sz w:val="24"/>
        </w:rPr>
        <w:t xml:space="preserve"> was conducted</w:t>
      </w:r>
      <w:r w:rsidR="0077429E">
        <w:rPr>
          <w:sz w:val="24"/>
        </w:rPr>
        <w:t xml:space="preserve"> using the term “loss of c</w:t>
      </w:r>
      <w:r w:rsidRPr="004D1073">
        <w:rPr>
          <w:sz w:val="24"/>
        </w:rPr>
        <w:t>hance” for each state, but it quickly became apparent that</w:t>
      </w:r>
      <w:r w:rsidR="00234709" w:rsidRPr="004D1073">
        <w:rPr>
          <w:sz w:val="24"/>
        </w:rPr>
        <w:t xml:space="preserve"> such a method must be executed with caution</w:t>
      </w:r>
      <w:r w:rsidRPr="004D1073">
        <w:rPr>
          <w:sz w:val="24"/>
        </w:rPr>
        <w:t>.</w:t>
      </w:r>
      <w:r w:rsidR="00234709" w:rsidRPr="004D1073">
        <w:rPr>
          <w:sz w:val="24"/>
        </w:rPr>
        <w:t xml:space="preserve">  Results were not inclusive of all relevant cases due to the many diff</w:t>
      </w:r>
      <w:r w:rsidR="0077429E">
        <w:rPr>
          <w:sz w:val="24"/>
        </w:rPr>
        <w:t>erent variations of the rule</w:t>
      </w:r>
      <w:r w:rsidR="00234709" w:rsidRPr="004D1073">
        <w:rPr>
          <w:sz w:val="24"/>
        </w:rPr>
        <w:t xml:space="preserve"> name</w:t>
      </w:r>
      <w:r w:rsidR="0077429E">
        <w:rPr>
          <w:sz w:val="24"/>
        </w:rPr>
        <w:t xml:space="preserve"> that exist.  Deviations from “l</w:t>
      </w:r>
      <w:r w:rsidR="00234709" w:rsidRPr="004D1073">
        <w:rPr>
          <w:sz w:val="24"/>
        </w:rPr>
        <w:t>oss o</w:t>
      </w:r>
      <w:r w:rsidR="0077429E">
        <w:rPr>
          <w:sz w:val="24"/>
        </w:rPr>
        <w:t>f chance” d</w:t>
      </w:r>
      <w:r w:rsidR="00234709" w:rsidRPr="004D1073">
        <w:rPr>
          <w:sz w:val="24"/>
        </w:rPr>
        <w:t>octrine i</w:t>
      </w:r>
      <w:r w:rsidR="0077429E">
        <w:rPr>
          <w:sz w:val="24"/>
        </w:rPr>
        <w:t>nclude but are not limited to “lost chance,” “loss of a c</w:t>
      </w:r>
      <w:r w:rsidR="00234709" w:rsidRPr="004D1073">
        <w:rPr>
          <w:sz w:val="24"/>
        </w:rPr>
        <w:t>hance</w:t>
      </w:r>
      <w:r w:rsidR="0077429E">
        <w:rPr>
          <w:sz w:val="24"/>
        </w:rPr>
        <w:t>,” “l</w:t>
      </w:r>
      <w:r w:rsidR="00234709" w:rsidRPr="004D1073">
        <w:rPr>
          <w:sz w:val="24"/>
        </w:rPr>
        <w:t>ost-chance-of-survival</w:t>
      </w:r>
      <w:r w:rsidR="0077429E">
        <w:rPr>
          <w:sz w:val="24"/>
        </w:rPr>
        <w:t>,” “lost o</w:t>
      </w:r>
      <w:r w:rsidR="00234709" w:rsidRPr="004D1073">
        <w:rPr>
          <w:sz w:val="24"/>
        </w:rPr>
        <w:t>pportunity</w:t>
      </w:r>
      <w:r w:rsidR="0077429E">
        <w:rPr>
          <w:sz w:val="24"/>
        </w:rPr>
        <w:t>,”</w:t>
      </w:r>
      <w:r w:rsidR="00234709" w:rsidRPr="004D1073">
        <w:rPr>
          <w:sz w:val="24"/>
        </w:rPr>
        <w:t xml:space="preserve"> “LC</w:t>
      </w:r>
      <w:r w:rsidR="0077429E">
        <w:rPr>
          <w:sz w:val="24"/>
        </w:rPr>
        <w:t>,” “Increased-risk-of-h</w:t>
      </w:r>
      <w:r w:rsidR="00234709" w:rsidRPr="004D1073">
        <w:rPr>
          <w:sz w:val="24"/>
        </w:rPr>
        <w:t>arm</w:t>
      </w:r>
      <w:r w:rsidR="0077429E">
        <w:rPr>
          <w:sz w:val="24"/>
        </w:rPr>
        <w:t>,”</w:t>
      </w:r>
      <w:r w:rsidR="00234709" w:rsidRPr="004D1073">
        <w:rPr>
          <w:sz w:val="24"/>
        </w:rPr>
        <w:t xml:space="preserve"> </w:t>
      </w:r>
      <w:r w:rsidR="009474D0" w:rsidRPr="004D1073">
        <w:rPr>
          <w:sz w:val="24"/>
        </w:rPr>
        <w:t xml:space="preserve">and </w:t>
      </w:r>
      <w:r w:rsidR="0077429E">
        <w:rPr>
          <w:sz w:val="24"/>
        </w:rPr>
        <w:t>“lost or diminished c</w:t>
      </w:r>
      <w:r w:rsidR="00234709" w:rsidRPr="004D1073">
        <w:rPr>
          <w:sz w:val="24"/>
        </w:rPr>
        <w:t>hance</w:t>
      </w:r>
      <w:r w:rsidR="0077429E">
        <w:rPr>
          <w:sz w:val="24"/>
        </w:rPr>
        <w:t>.</w:t>
      </w:r>
      <w:r w:rsidR="00234709" w:rsidRPr="004D1073">
        <w:rPr>
          <w:sz w:val="24"/>
        </w:rPr>
        <w:t xml:space="preserve">” </w:t>
      </w:r>
      <w:r w:rsidRPr="004D1073">
        <w:rPr>
          <w:sz w:val="24"/>
        </w:rPr>
        <w:t xml:space="preserve">  After a thorough state-by-s</w:t>
      </w:r>
      <w:r w:rsidR="0077429E">
        <w:rPr>
          <w:sz w:val="24"/>
        </w:rPr>
        <w:t xml:space="preserve">tate investigation </w:t>
      </w:r>
      <w:r w:rsidR="00F750BC">
        <w:rPr>
          <w:sz w:val="24"/>
        </w:rPr>
        <w:t>the status of the law in each state was coded according to the same four-way classi</w:t>
      </w:r>
      <w:r w:rsidR="00DC5F8E">
        <w:rPr>
          <w:sz w:val="24"/>
        </w:rPr>
        <w:t>fication applied in Koch (2010), summarized as follows:</w:t>
      </w:r>
      <w:r w:rsidR="0014086B" w:rsidRPr="004D1073">
        <w:rPr>
          <w:sz w:val="24"/>
        </w:rPr>
        <w:t xml:space="preserve"> 22 </w:t>
      </w:r>
      <w:r w:rsidRPr="004D1073">
        <w:rPr>
          <w:sz w:val="24"/>
        </w:rPr>
        <w:t xml:space="preserve">states have adopted the doctrine, </w:t>
      </w:r>
      <w:r w:rsidR="0014086B" w:rsidRPr="004D1073">
        <w:rPr>
          <w:sz w:val="24"/>
        </w:rPr>
        <w:t xml:space="preserve">18 </w:t>
      </w:r>
      <w:r w:rsidR="00F750BC">
        <w:rPr>
          <w:sz w:val="24"/>
        </w:rPr>
        <w:t>states</w:t>
      </w:r>
      <w:r w:rsidRPr="004D1073">
        <w:rPr>
          <w:sz w:val="24"/>
        </w:rPr>
        <w:t xml:space="preserve"> have rejected it, </w:t>
      </w:r>
      <w:r w:rsidR="0014086B" w:rsidRPr="004D1073">
        <w:rPr>
          <w:sz w:val="24"/>
        </w:rPr>
        <w:t>4</w:t>
      </w:r>
      <w:r w:rsidRPr="004D1073">
        <w:rPr>
          <w:sz w:val="24"/>
        </w:rPr>
        <w:t xml:space="preserve"> states have deferred opinion, and </w:t>
      </w:r>
      <w:r w:rsidR="0014086B" w:rsidRPr="004D1073">
        <w:rPr>
          <w:sz w:val="24"/>
        </w:rPr>
        <w:t xml:space="preserve">6 </w:t>
      </w:r>
      <w:r w:rsidRPr="004D1073">
        <w:rPr>
          <w:sz w:val="24"/>
        </w:rPr>
        <w:t>states have yet to consider the doctrine</w:t>
      </w:r>
      <w:r w:rsidR="00295333" w:rsidRPr="004D1073">
        <w:rPr>
          <w:sz w:val="24"/>
        </w:rPr>
        <w:t xml:space="preserve">.  </w:t>
      </w:r>
      <w:r w:rsidR="00DC5F8E">
        <w:rPr>
          <w:sz w:val="24"/>
        </w:rPr>
        <w:t xml:space="preserve">The states falling in each of these categories are listed in Table 1.  </w:t>
      </w:r>
    </w:p>
    <w:p w:rsidR="00295333" w:rsidRPr="004D1073" w:rsidRDefault="00DC5F8E" w:rsidP="00295333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(Table 1 here.)</w:t>
      </w:r>
    </w:p>
    <w:p w:rsidR="001723F2" w:rsidRDefault="00D616AD" w:rsidP="00295333">
      <w:pPr>
        <w:ind w:firstLine="720"/>
        <w:rPr>
          <w:sz w:val="24"/>
        </w:rPr>
      </w:pPr>
      <w:r w:rsidRPr="004D1073">
        <w:rPr>
          <w:sz w:val="24"/>
        </w:rPr>
        <w:t xml:space="preserve">Categorization </w:t>
      </w:r>
      <w:r w:rsidR="00295333" w:rsidRPr="004D1073">
        <w:rPr>
          <w:sz w:val="24"/>
        </w:rPr>
        <w:t>of the states has remained constant with that appearing in the</w:t>
      </w:r>
      <w:r w:rsidRPr="004D1073">
        <w:rPr>
          <w:sz w:val="24"/>
        </w:rPr>
        <w:t xml:space="preserve"> </w:t>
      </w:r>
      <w:r w:rsidR="00DC5F8E">
        <w:rPr>
          <w:sz w:val="24"/>
        </w:rPr>
        <w:t>Koch</w:t>
      </w:r>
      <w:r w:rsidR="00FA2E99">
        <w:rPr>
          <w:sz w:val="24"/>
        </w:rPr>
        <w:t xml:space="preserve"> (2010)</w:t>
      </w:r>
      <w:r w:rsidR="00DC5F8E">
        <w:rPr>
          <w:sz w:val="24"/>
        </w:rPr>
        <w:t xml:space="preserve"> </w:t>
      </w:r>
      <w:r w:rsidRPr="004D1073">
        <w:rPr>
          <w:sz w:val="24"/>
        </w:rPr>
        <w:t>in all but two instances, namely Alaska and Michigan.</w:t>
      </w:r>
      <w:r w:rsidR="00295333" w:rsidRPr="004D1073">
        <w:rPr>
          <w:sz w:val="24"/>
        </w:rPr>
        <w:t xml:space="preserve"> </w:t>
      </w:r>
      <w:r w:rsidRPr="004D1073">
        <w:rPr>
          <w:sz w:val="24"/>
        </w:rPr>
        <w:t xml:space="preserve">Both were originally grouped with the list of states that have deferred opinion regarding the doctrine; </w:t>
      </w:r>
      <w:r w:rsidR="00DC5F8E">
        <w:rPr>
          <w:sz w:val="24"/>
        </w:rPr>
        <w:t xml:space="preserve">as of July 2013, </w:t>
      </w:r>
      <w:r w:rsidRPr="004D1073">
        <w:rPr>
          <w:sz w:val="24"/>
        </w:rPr>
        <w:t>however</w:t>
      </w:r>
      <w:r w:rsidR="00DC5F8E">
        <w:rPr>
          <w:sz w:val="24"/>
        </w:rPr>
        <w:t>, l</w:t>
      </w:r>
      <w:r w:rsidR="0077429E">
        <w:rPr>
          <w:sz w:val="24"/>
        </w:rPr>
        <w:t>oss of c</w:t>
      </w:r>
      <w:r w:rsidR="00DC5F8E">
        <w:rPr>
          <w:sz w:val="24"/>
        </w:rPr>
        <w:t>hance has</w:t>
      </w:r>
      <w:r w:rsidR="00A0481A">
        <w:rPr>
          <w:sz w:val="24"/>
        </w:rPr>
        <w:t xml:space="preserve"> been rejected</w:t>
      </w:r>
      <w:r w:rsidR="00CD5D72">
        <w:rPr>
          <w:sz w:val="24"/>
        </w:rPr>
        <w:t xml:space="preserve"> in</w:t>
      </w:r>
      <w:r w:rsidR="00A0481A">
        <w:rPr>
          <w:sz w:val="24"/>
        </w:rPr>
        <w:t xml:space="preserve"> Alaska and</w:t>
      </w:r>
      <w:r w:rsidR="00DC5F8E">
        <w:rPr>
          <w:sz w:val="24"/>
        </w:rPr>
        <w:t xml:space="preserve"> </w:t>
      </w:r>
      <w:r w:rsidR="00CD5D72">
        <w:rPr>
          <w:sz w:val="24"/>
        </w:rPr>
        <w:t xml:space="preserve">effectively rejected in </w:t>
      </w:r>
      <w:r w:rsidR="00DC5F8E">
        <w:rPr>
          <w:sz w:val="24"/>
        </w:rPr>
        <w:t xml:space="preserve">Michigan.  </w:t>
      </w:r>
      <w:r w:rsidR="00CD5D72">
        <w:rPr>
          <w:sz w:val="24"/>
        </w:rPr>
        <w:t xml:space="preserve">In Michigan, a statute makes viable a loss of opportunity pleading, but there is a 50 percent threshold requirement in the pre-negligence survival probability, effectively preserving </w:t>
      </w:r>
      <w:r w:rsidR="00874C45">
        <w:rPr>
          <w:sz w:val="24"/>
        </w:rPr>
        <w:t>(actually, reinstating after</w:t>
      </w:r>
      <w:r w:rsidR="00227717">
        <w:rPr>
          <w:sz w:val="24"/>
        </w:rPr>
        <w:t xml:space="preserve"> earlier court action)</w:t>
      </w:r>
      <w:r w:rsidR="00CD5D72">
        <w:rPr>
          <w:sz w:val="24"/>
        </w:rPr>
        <w:t xml:space="preserve"> the all-or-nothing rule.  </w:t>
      </w:r>
      <w:r w:rsidR="00DC5F8E">
        <w:rPr>
          <w:sz w:val="24"/>
        </w:rPr>
        <w:t>In five</w:t>
      </w:r>
      <w:r w:rsidR="001076C4" w:rsidRPr="004D1073">
        <w:rPr>
          <w:sz w:val="24"/>
        </w:rPr>
        <w:t xml:space="preserve"> other states</w:t>
      </w:r>
      <w:r w:rsidRPr="004D1073">
        <w:rPr>
          <w:sz w:val="24"/>
        </w:rPr>
        <w:t xml:space="preserve">, although </w:t>
      </w:r>
      <w:r w:rsidR="00DC5F8E">
        <w:rPr>
          <w:sz w:val="24"/>
        </w:rPr>
        <w:t xml:space="preserve">the </w:t>
      </w:r>
      <w:r w:rsidRPr="004D1073">
        <w:rPr>
          <w:sz w:val="24"/>
        </w:rPr>
        <w:t>classification has remained</w:t>
      </w:r>
      <w:r w:rsidR="00DC5F8E">
        <w:rPr>
          <w:sz w:val="24"/>
        </w:rPr>
        <w:t xml:space="preserve"> constant</w:t>
      </w:r>
      <w:r w:rsidRPr="004D1073">
        <w:rPr>
          <w:sz w:val="24"/>
        </w:rPr>
        <w:t xml:space="preserve">, </w:t>
      </w:r>
      <w:r w:rsidR="001076C4" w:rsidRPr="004D1073">
        <w:rPr>
          <w:sz w:val="24"/>
        </w:rPr>
        <w:t>the cases offered as supporting evidence vary from Koch (2010)</w:t>
      </w:r>
      <w:r w:rsidR="00DC5F8E">
        <w:rPr>
          <w:sz w:val="24"/>
        </w:rPr>
        <w:t>.  The states are</w:t>
      </w:r>
      <w:r w:rsidR="00FE7936" w:rsidRPr="004D1073">
        <w:rPr>
          <w:sz w:val="24"/>
        </w:rPr>
        <w:t xml:space="preserve"> </w:t>
      </w:r>
      <w:r w:rsidR="001076C4" w:rsidRPr="004D1073">
        <w:rPr>
          <w:sz w:val="24"/>
        </w:rPr>
        <w:t xml:space="preserve">Hawaii, North Carolina, </w:t>
      </w:r>
      <w:r w:rsidR="009F610C">
        <w:rPr>
          <w:sz w:val="24"/>
        </w:rPr>
        <w:t xml:space="preserve">South Carolina, </w:t>
      </w:r>
      <w:r w:rsidR="001076C4" w:rsidRPr="004D1073">
        <w:rPr>
          <w:sz w:val="24"/>
        </w:rPr>
        <w:t xml:space="preserve">Washington, </w:t>
      </w:r>
      <w:r w:rsidR="009F610C">
        <w:rPr>
          <w:sz w:val="24"/>
        </w:rPr>
        <w:t xml:space="preserve">and </w:t>
      </w:r>
      <w:r w:rsidR="001076C4" w:rsidRPr="004D1073">
        <w:rPr>
          <w:sz w:val="24"/>
        </w:rPr>
        <w:t>W</w:t>
      </w:r>
      <w:r w:rsidR="009F610C">
        <w:rPr>
          <w:sz w:val="24"/>
        </w:rPr>
        <w:t>est Virginia</w:t>
      </w:r>
      <w:r w:rsidR="001076C4" w:rsidRPr="004D1073">
        <w:rPr>
          <w:sz w:val="24"/>
        </w:rPr>
        <w:t>.</w:t>
      </w:r>
      <w:r w:rsidR="00FE7936" w:rsidRPr="004D1073">
        <w:rPr>
          <w:sz w:val="24"/>
        </w:rPr>
        <w:t xml:space="preserve">  All other states fall under their categorization set forth by Koch (2010) with the initial supporting case law</w:t>
      </w:r>
      <w:r w:rsidR="00DC5F8E">
        <w:rPr>
          <w:sz w:val="24"/>
        </w:rPr>
        <w:t xml:space="preserve"> remaining good law</w:t>
      </w:r>
      <w:r w:rsidR="00FE7936" w:rsidRPr="004D1073">
        <w:rPr>
          <w:sz w:val="24"/>
        </w:rPr>
        <w:t>.  The only other</w:t>
      </w:r>
      <w:r w:rsidR="00227717">
        <w:rPr>
          <w:sz w:val="24"/>
        </w:rPr>
        <w:t xml:space="preserve"> alteration is that for some state</w:t>
      </w:r>
      <w:r w:rsidR="00FE7936" w:rsidRPr="004D1073">
        <w:rPr>
          <w:sz w:val="24"/>
        </w:rPr>
        <w:t>s, such as Florida, additional cases are added to the original example to offer further supporting evidence.</w:t>
      </w:r>
      <w:r w:rsidR="00192357">
        <w:rPr>
          <w:sz w:val="24"/>
        </w:rPr>
        <w:t xml:space="preserve">  The detailed table of case </w:t>
      </w:r>
      <w:r w:rsidR="002511D3">
        <w:rPr>
          <w:sz w:val="24"/>
        </w:rPr>
        <w:t xml:space="preserve">and statutory </w:t>
      </w:r>
      <w:r w:rsidR="00192357">
        <w:rPr>
          <w:sz w:val="24"/>
        </w:rPr>
        <w:t xml:space="preserve">law results is </w:t>
      </w:r>
      <w:r w:rsidR="009F610C">
        <w:rPr>
          <w:sz w:val="24"/>
        </w:rPr>
        <w:t xml:space="preserve">to be </w:t>
      </w:r>
      <w:r w:rsidR="002511D3">
        <w:rPr>
          <w:sz w:val="24"/>
        </w:rPr>
        <w:t>coded</w:t>
      </w:r>
      <w:r w:rsidR="00192357">
        <w:rPr>
          <w:sz w:val="24"/>
        </w:rPr>
        <w:t xml:space="preserve"> as well </w:t>
      </w:r>
      <w:r w:rsidR="002511D3">
        <w:rPr>
          <w:sz w:val="24"/>
        </w:rPr>
        <w:t xml:space="preserve">relative </w:t>
      </w:r>
      <w:r w:rsidR="00192357">
        <w:rPr>
          <w:sz w:val="24"/>
        </w:rPr>
        <w:t xml:space="preserve">to </w:t>
      </w:r>
      <w:r w:rsidR="00997E7D">
        <w:rPr>
          <w:sz w:val="24"/>
        </w:rPr>
        <w:t xml:space="preserve">previously published summaries (notably, </w:t>
      </w:r>
      <w:proofErr w:type="spellStart"/>
      <w:r w:rsidR="00997E7D">
        <w:rPr>
          <w:sz w:val="24"/>
        </w:rPr>
        <w:t>Weigand</w:t>
      </w:r>
      <w:proofErr w:type="spellEnd"/>
      <w:r w:rsidR="00997E7D">
        <w:rPr>
          <w:sz w:val="24"/>
        </w:rPr>
        <w:t xml:space="preserve"> 2003)</w:t>
      </w:r>
      <w:r w:rsidR="00192357">
        <w:rPr>
          <w:sz w:val="24"/>
        </w:rPr>
        <w:t>, with any substantive differences noted</w:t>
      </w:r>
      <w:r w:rsidR="009F610C">
        <w:rPr>
          <w:sz w:val="24"/>
        </w:rPr>
        <w:t xml:space="preserve"> (under construction at this time)</w:t>
      </w:r>
      <w:r w:rsidR="00192357">
        <w:rPr>
          <w:sz w:val="24"/>
        </w:rPr>
        <w:t xml:space="preserve">.  Trends in the evolutionary adoption of loss of chance rules are discussed in Dahl (2008), </w:t>
      </w:r>
      <w:proofErr w:type="spellStart"/>
      <w:r w:rsidR="00F75A7F">
        <w:rPr>
          <w:sz w:val="24"/>
        </w:rPr>
        <w:t>Sebok</w:t>
      </w:r>
      <w:proofErr w:type="spellEnd"/>
      <w:r w:rsidR="00F75A7F">
        <w:rPr>
          <w:sz w:val="24"/>
        </w:rPr>
        <w:t xml:space="preserve"> (2008) and </w:t>
      </w:r>
      <w:proofErr w:type="spellStart"/>
      <w:r w:rsidR="00F75A7F">
        <w:rPr>
          <w:sz w:val="24"/>
        </w:rPr>
        <w:t>Weigand</w:t>
      </w:r>
      <w:proofErr w:type="spellEnd"/>
      <w:r w:rsidR="00F75A7F">
        <w:rPr>
          <w:sz w:val="24"/>
        </w:rPr>
        <w:t xml:space="preserve"> (2010).</w:t>
      </w:r>
      <w:r w:rsidR="00192357">
        <w:rPr>
          <w:sz w:val="24"/>
        </w:rPr>
        <w:t xml:space="preserve"> </w:t>
      </w:r>
      <w:r w:rsidR="00256FA8">
        <w:rPr>
          <w:sz w:val="24"/>
        </w:rPr>
        <w:t xml:space="preserve"> Our lengthy, detailed table of </w:t>
      </w:r>
      <w:r w:rsidR="006B3487">
        <w:rPr>
          <w:sz w:val="24"/>
        </w:rPr>
        <w:t xml:space="preserve">relevant </w:t>
      </w:r>
      <w:r w:rsidR="00256FA8">
        <w:rPr>
          <w:sz w:val="24"/>
        </w:rPr>
        <w:t>cases</w:t>
      </w:r>
      <w:r w:rsidR="006B3487">
        <w:rPr>
          <w:sz w:val="24"/>
        </w:rPr>
        <w:t xml:space="preserve"> </w:t>
      </w:r>
      <w:r w:rsidR="009F610C">
        <w:rPr>
          <w:sz w:val="24"/>
        </w:rPr>
        <w:t xml:space="preserve">and statutes </w:t>
      </w:r>
      <w:r w:rsidR="006B3487">
        <w:rPr>
          <w:sz w:val="24"/>
        </w:rPr>
        <w:t>for the various states is not reproduced here, but is available in electronic format.  Contact the corresponding author for details.</w:t>
      </w:r>
    </w:p>
    <w:p w:rsidR="001723F2" w:rsidRPr="00F75A7F" w:rsidRDefault="001723F2" w:rsidP="00F75A7F">
      <w:pPr>
        <w:jc w:val="center"/>
        <w:rPr>
          <w:b/>
          <w:sz w:val="24"/>
        </w:rPr>
      </w:pPr>
      <w:r>
        <w:rPr>
          <w:sz w:val="24"/>
        </w:rPr>
        <w:br w:type="page"/>
      </w:r>
      <w:r w:rsidR="00F75A7F" w:rsidRPr="00F75A7F">
        <w:rPr>
          <w:b/>
          <w:sz w:val="24"/>
        </w:rPr>
        <w:t>References</w:t>
      </w:r>
    </w:p>
    <w:p w:rsidR="00CF47E1" w:rsidRDefault="00CF47E1" w:rsidP="00495217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Dahl, Dick.</w:t>
      </w:r>
      <w:proofErr w:type="gramEnd"/>
      <w:r>
        <w:rPr>
          <w:sz w:val="24"/>
          <w:szCs w:val="24"/>
        </w:rPr>
        <w:t xml:space="preserve"> 2008. “’Loss of Chance’ Damages Gaining Acceptance.” </w:t>
      </w:r>
      <w:r w:rsidRPr="00CF47E1">
        <w:rPr>
          <w:i/>
          <w:sz w:val="24"/>
          <w:szCs w:val="24"/>
        </w:rPr>
        <w:t>Lawyers USA</w:t>
      </w:r>
      <w:r>
        <w:rPr>
          <w:sz w:val="24"/>
          <w:szCs w:val="24"/>
        </w:rPr>
        <w:t xml:space="preserve"> August 11:</w:t>
      </w:r>
      <w:r w:rsidR="002D07BE">
        <w:rPr>
          <w:sz w:val="24"/>
          <w:szCs w:val="24"/>
        </w:rPr>
        <w:t xml:space="preserve"> pp. </w:t>
      </w:r>
      <w:r>
        <w:rPr>
          <w:sz w:val="24"/>
          <w:szCs w:val="24"/>
        </w:rPr>
        <w:t xml:space="preserve">1-27 </w:t>
      </w:r>
      <w:r w:rsidRPr="00CF47E1">
        <w:rPr>
          <w:i/>
          <w:sz w:val="24"/>
          <w:szCs w:val="24"/>
        </w:rPr>
        <w:t>passim</w:t>
      </w:r>
      <w:r>
        <w:rPr>
          <w:i/>
          <w:sz w:val="24"/>
          <w:szCs w:val="24"/>
        </w:rPr>
        <w:t>.</w:t>
      </w:r>
    </w:p>
    <w:p w:rsidR="00CF47E1" w:rsidRPr="00CF47E1" w:rsidRDefault="00CF47E1" w:rsidP="00495217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Frasca</w:t>
      </w:r>
      <w:proofErr w:type="spellEnd"/>
      <w:r>
        <w:rPr>
          <w:sz w:val="24"/>
          <w:szCs w:val="24"/>
        </w:rPr>
        <w:t xml:space="preserve">, Ralph. 2009. “Loss of Chance Rules and the Valuation of Loss of Chance Damages.” </w:t>
      </w:r>
      <w:r w:rsidRPr="00CF47E1">
        <w:rPr>
          <w:i/>
          <w:sz w:val="24"/>
          <w:szCs w:val="24"/>
        </w:rPr>
        <w:t>Journal of Legal Economics</w:t>
      </w:r>
      <w:r>
        <w:rPr>
          <w:sz w:val="24"/>
          <w:szCs w:val="24"/>
        </w:rPr>
        <w:t xml:space="preserve"> 15(2): pp 91-104.</w:t>
      </w:r>
    </w:p>
    <w:p w:rsidR="00495217" w:rsidRPr="00495217" w:rsidRDefault="00495217" w:rsidP="00495217">
      <w:pPr>
        <w:ind w:firstLine="720"/>
        <w:rPr>
          <w:sz w:val="24"/>
          <w:szCs w:val="24"/>
        </w:rPr>
      </w:pPr>
      <w:r>
        <w:rPr>
          <w:sz w:val="24"/>
          <w:szCs w:val="24"/>
        </w:rPr>
        <w:t>Koch, Steven R. 2010. “</w:t>
      </w:r>
      <w:r w:rsidRPr="00495217">
        <w:rPr>
          <w:sz w:val="24"/>
          <w:szCs w:val="24"/>
        </w:rPr>
        <w:t>Comment: Whose Los</w:t>
      </w:r>
      <w:r>
        <w:rPr>
          <w:sz w:val="24"/>
          <w:szCs w:val="24"/>
        </w:rPr>
        <w:t>s Is It Anyway? Effects of the ‘Lost-Chance’</w:t>
      </w:r>
      <w:r w:rsidRPr="00495217">
        <w:rPr>
          <w:sz w:val="24"/>
          <w:szCs w:val="24"/>
        </w:rPr>
        <w:t xml:space="preserve"> Doctrine on Civil Litigation and Medical</w:t>
      </w:r>
      <w:r>
        <w:rPr>
          <w:sz w:val="24"/>
          <w:szCs w:val="24"/>
        </w:rPr>
        <w:t xml:space="preserve"> </w:t>
      </w:r>
      <w:r w:rsidRPr="00495217">
        <w:rPr>
          <w:sz w:val="24"/>
          <w:szCs w:val="24"/>
        </w:rPr>
        <w:t>Malpractice Insurance</w:t>
      </w:r>
      <w:r>
        <w:rPr>
          <w:sz w:val="24"/>
          <w:szCs w:val="24"/>
        </w:rPr>
        <w:t xml:space="preserve">.” </w:t>
      </w:r>
      <w:r w:rsidRPr="00CF47E1">
        <w:rPr>
          <w:i/>
          <w:sz w:val="24"/>
          <w:szCs w:val="24"/>
        </w:rPr>
        <w:t>North Carolina Law Review</w:t>
      </w:r>
      <w:r>
        <w:rPr>
          <w:sz w:val="24"/>
          <w:szCs w:val="24"/>
        </w:rPr>
        <w:t xml:space="preserve"> 88 (January): </w:t>
      </w:r>
      <w:r w:rsidR="002D07BE">
        <w:rPr>
          <w:sz w:val="24"/>
          <w:szCs w:val="24"/>
        </w:rPr>
        <w:t xml:space="preserve">pp. </w:t>
      </w:r>
      <w:r>
        <w:rPr>
          <w:sz w:val="24"/>
          <w:szCs w:val="24"/>
        </w:rPr>
        <w:t>595-638.</w:t>
      </w:r>
    </w:p>
    <w:p w:rsidR="001723F2" w:rsidRPr="0039188C" w:rsidRDefault="001723F2" w:rsidP="001723F2">
      <w:pPr>
        <w:ind w:firstLine="720"/>
        <w:rPr>
          <w:sz w:val="24"/>
          <w:szCs w:val="24"/>
        </w:rPr>
      </w:pPr>
      <w:r w:rsidRPr="00D83671">
        <w:rPr>
          <w:i/>
          <w:sz w:val="24"/>
          <w:szCs w:val="24"/>
        </w:rPr>
        <w:t>Massachusetts Superior Court Civil Practice Jury Instructions</w:t>
      </w:r>
      <w:r w:rsidRPr="0039188C">
        <w:rPr>
          <w:sz w:val="24"/>
          <w:szCs w:val="24"/>
        </w:rPr>
        <w:t>, 2</w:t>
      </w:r>
      <w:r w:rsidRPr="00D83671">
        <w:rPr>
          <w:sz w:val="24"/>
          <w:szCs w:val="24"/>
          <w:vertAlign w:val="superscript"/>
        </w:rPr>
        <w:t>nd</w:t>
      </w:r>
      <w:r w:rsidRPr="0039188C">
        <w:rPr>
          <w:sz w:val="24"/>
          <w:szCs w:val="24"/>
        </w:rPr>
        <w:t xml:space="preserve"> ed. (MCLE, Inc. 2008)</w:t>
      </w:r>
    </w:p>
    <w:p w:rsidR="00F75A7F" w:rsidRDefault="00B76FFC" w:rsidP="00295333">
      <w:pPr>
        <w:ind w:firstLine="720"/>
        <w:rPr>
          <w:sz w:val="24"/>
        </w:rPr>
      </w:pPr>
      <w:r>
        <w:rPr>
          <w:sz w:val="24"/>
        </w:rPr>
        <w:t xml:space="preserve">Matsuyama v. </w:t>
      </w:r>
      <w:proofErr w:type="spellStart"/>
      <w:r>
        <w:rPr>
          <w:sz w:val="24"/>
        </w:rPr>
        <w:t>Bir</w:t>
      </w:r>
      <w:r w:rsidR="002D07BE">
        <w:rPr>
          <w:sz w:val="24"/>
        </w:rPr>
        <w:t>nbaum</w:t>
      </w:r>
      <w:proofErr w:type="spellEnd"/>
      <w:r w:rsidR="002D07BE">
        <w:rPr>
          <w:sz w:val="24"/>
        </w:rPr>
        <w:t xml:space="preserve">, 452 Mass 1, </w:t>
      </w:r>
      <w:proofErr w:type="gramStart"/>
      <w:r w:rsidR="002D07BE">
        <w:rPr>
          <w:sz w:val="24"/>
        </w:rPr>
        <w:t>July</w:t>
      </w:r>
      <w:proofErr w:type="gramEnd"/>
      <w:r w:rsidR="002D07BE">
        <w:rPr>
          <w:sz w:val="24"/>
        </w:rPr>
        <w:t xml:space="preserve"> 23,2008: pp. 1-37.</w:t>
      </w:r>
    </w:p>
    <w:p w:rsidR="009B3B8D" w:rsidRDefault="00F75A7F" w:rsidP="00295333">
      <w:pPr>
        <w:ind w:firstLine="720"/>
        <w:rPr>
          <w:sz w:val="24"/>
        </w:rPr>
      </w:pPr>
      <w:proofErr w:type="spellStart"/>
      <w:r>
        <w:rPr>
          <w:sz w:val="24"/>
        </w:rPr>
        <w:t>Sebok</w:t>
      </w:r>
      <w:proofErr w:type="spellEnd"/>
      <w:r>
        <w:rPr>
          <w:sz w:val="24"/>
        </w:rPr>
        <w:t xml:space="preserve">, Anthony J. 2008. “Massachusetts’ Supreme Judicial Court Embraces the “Loss of a Chance” Doctrine: Why this Key Torts Decision May Convince Other State Supreme Courts to Follow Suit.” </w:t>
      </w:r>
      <w:proofErr w:type="spellStart"/>
      <w:r w:rsidRPr="00F75A7F">
        <w:rPr>
          <w:i/>
          <w:sz w:val="24"/>
        </w:rPr>
        <w:t>Findlaw’s</w:t>
      </w:r>
      <w:proofErr w:type="spellEnd"/>
      <w:r w:rsidRPr="00F75A7F">
        <w:rPr>
          <w:i/>
          <w:sz w:val="24"/>
        </w:rPr>
        <w:t xml:space="preserve"> Writ</w:t>
      </w:r>
      <w:r>
        <w:rPr>
          <w:sz w:val="24"/>
        </w:rPr>
        <w:t xml:space="preserve"> August 5: Web accessed.</w:t>
      </w:r>
    </w:p>
    <w:p w:rsidR="00B76FFC" w:rsidRDefault="009B3B8D" w:rsidP="00295333">
      <w:pPr>
        <w:ind w:firstLine="720"/>
        <w:rPr>
          <w:sz w:val="24"/>
        </w:rPr>
      </w:pPr>
      <w:proofErr w:type="spellStart"/>
      <w:proofErr w:type="gramStart"/>
      <w:r>
        <w:rPr>
          <w:sz w:val="24"/>
        </w:rPr>
        <w:t>Weigand</w:t>
      </w:r>
      <w:proofErr w:type="spellEnd"/>
      <w:r>
        <w:rPr>
          <w:sz w:val="24"/>
        </w:rPr>
        <w:t>, Tory A. 2003.</w:t>
      </w:r>
      <w:proofErr w:type="gramEnd"/>
      <w:r>
        <w:rPr>
          <w:sz w:val="24"/>
        </w:rPr>
        <w:t xml:space="preserve"> “Loss of Chance in Medical Malpractice: A Look at Recent Developments</w:t>
      </w:r>
      <w:r w:rsidR="002D07BE">
        <w:rPr>
          <w:sz w:val="24"/>
        </w:rPr>
        <w:t xml:space="preserve">.” </w:t>
      </w:r>
      <w:r w:rsidR="002D07BE" w:rsidRPr="002D07BE">
        <w:rPr>
          <w:i/>
          <w:sz w:val="24"/>
        </w:rPr>
        <w:t>Defense Counsel Journal</w:t>
      </w:r>
      <w:r w:rsidR="002D07BE">
        <w:rPr>
          <w:sz w:val="24"/>
        </w:rPr>
        <w:t xml:space="preserve"> July: pp. 301-314.</w:t>
      </w:r>
    </w:p>
    <w:p w:rsidR="00764B07" w:rsidRDefault="00B76FFC" w:rsidP="00295333">
      <w:pPr>
        <w:ind w:firstLine="720"/>
        <w:rPr>
          <w:sz w:val="24"/>
        </w:rPr>
        <w:sectPr w:rsidR="00764B07">
          <w:pgSz w:w="12240" w:h="15840"/>
          <w:pgMar w:top="1440" w:right="1440" w:bottom="1440" w:left="1440" w:gutter="0"/>
          <w:pgNumType w:start="1"/>
          <w:titlePg/>
          <w:docGrid w:linePitch="360"/>
        </w:sectPr>
      </w:pPr>
      <w:proofErr w:type="spellStart"/>
      <w:proofErr w:type="gramStart"/>
      <w:r>
        <w:rPr>
          <w:sz w:val="24"/>
        </w:rPr>
        <w:t>Weigand</w:t>
      </w:r>
      <w:proofErr w:type="spellEnd"/>
      <w:r>
        <w:rPr>
          <w:sz w:val="24"/>
        </w:rPr>
        <w:t xml:space="preserve">, Tory A. </w:t>
      </w:r>
      <w:r w:rsidR="00495217">
        <w:rPr>
          <w:sz w:val="24"/>
        </w:rPr>
        <w:t>2010.</w:t>
      </w:r>
      <w:proofErr w:type="gramEnd"/>
      <w:r w:rsidR="00495217">
        <w:rPr>
          <w:sz w:val="24"/>
        </w:rPr>
        <w:t xml:space="preserve"> </w:t>
      </w:r>
      <w:r>
        <w:rPr>
          <w:sz w:val="24"/>
        </w:rPr>
        <w:t>“Lost Chances, Felt Necessities, and the Tale of Two Cities</w:t>
      </w:r>
      <w:r w:rsidR="00495217">
        <w:rPr>
          <w:sz w:val="24"/>
        </w:rPr>
        <w:t xml:space="preserve">.”  </w:t>
      </w:r>
      <w:r w:rsidR="00495217" w:rsidRPr="00495217">
        <w:rPr>
          <w:i/>
          <w:sz w:val="24"/>
        </w:rPr>
        <w:t>Suffolk University Law Review</w:t>
      </w:r>
      <w:r w:rsidR="00495217">
        <w:rPr>
          <w:sz w:val="24"/>
        </w:rPr>
        <w:t xml:space="preserve"> 43: </w:t>
      </w:r>
      <w:r w:rsidR="002D07BE">
        <w:rPr>
          <w:sz w:val="24"/>
        </w:rPr>
        <w:t xml:space="preserve">pp. </w:t>
      </w:r>
      <w:r w:rsidR="00495217">
        <w:rPr>
          <w:sz w:val="24"/>
        </w:rPr>
        <w:t>3</w:t>
      </w:r>
      <w:r w:rsidR="00764B07">
        <w:rPr>
          <w:sz w:val="24"/>
        </w:rPr>
        <w:t>27-392.</w:t>
      </w:r>
    </w:p>
    <w:p w:rsidR="00764B07" w:rsidRPr="006A3379" w:rsidRDefault="00764B07" w:rsidP="00764B07">
      <w:pPr>
        <w:ind w:firstLine="720"/>
        <w:jc w:val="center"/>
        <w:rPr>
          <w:b/>
          <w:sz w:val="24"/>
        </w:rPr>
      </w:pPr>
      <w:r w:rsidRPr="006A3379">
        <w:rPr>
          <w:b/>
          <w:sz w:val="24"/>
        </w:rPr>
        <w:t>TABLE 1</w:t>
      </w:r>
    </w:p>
    <w:p w:rsidR="00B02177" w:rsidRPr="006A3379" w:rsidRDefault="00764B07" w:rsidP="00B02177">
      <w:pPr>
        <w:ind w:firstLine="720"/>
        <w:jc w:val="center"/>
        <w:rPr>
          <w:b/>
          <w:sz w:val="24"/>
        </w:rPr>
      </w:pPr>
      <w:r w:rsidRPr="006A3379">
        <w:rPr>
          <w:b/>
          <w:sz w:val="24"/>
        </w:rPr>
        <w:t>State Categorizations by Treatment of Loss of Chance</w:t>
      </w:r>
    </w:p>
    <w:p w:rsidR="000E3CF2" w:rsidRDefault="00B02177" w:rsidP="00B02177">
      <w:pPr>
        <w:ind w:firstLine="720"/>
        <w:rPr>
          <w:sz w:val="24"/>
        </w:rPr>
      </w:pPr>
      <w:r w:rsidRPr="006A3379">
        <w:rPr>
          <w:b/>
          <w:sz w:val="24"/>
        </w:rPr>
        <w:t>Adopt</w:t>
      </w:r>
      <w:r>
        <w:rPr>
          <w:sz w:val="24"/>
        </w:rPr>
        <w:t xml:space="preserve"> (22)</w:t>
      </w:r>
      <w:r w:rsidR="00764B07">
        <w:rPr>
          <w:sz w:val="24"/>
        </w:rPr>
        <w:t xml:space="preserve">: Arizona, Delaware, Illinois, Indiana, Iowa, Kansas, Louisiana, Massachusetts,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64B07">
        <w:rPr>
          <w:sz w:val="24"/>
        </w:rPr>
        <w:t>Missouri, Montana</w:t>
      </w:r>
      <w:r>
        <w:rPr>
          <w:sz w:val="24"/>
        </w:rPr>
        <w:t>, Nevada, New Jersey, New Mexico,</w:t>
      </w:r>
      <w:r w:rsidR="00A22CD6">
        <w:rPr>
          <w:sz w:val="24"/>
        </w:rPr>
        <w:t xml:space="preserve"> New York,</w:t>
      </w:r>
      <w:r>
        <w:rPr>
          <w:sz w:val="24"/>
        </w:rPr>
        <w:t xml:space="preserve"> North Dakota,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Ohio, Oklahoma, Pennsylvania, Washington, West Virginia, Wisconsin and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Wyoming.</w:t>
      </w:r>
    </w:p>
    <w:p w:rsidR="000E3CF2" w:rsidRDefault="00B02177" w:rsidP="00B02177">
      <w:pPr>
        <w:ind w:firstLine="720"/>
        <w:rPr>
          <w:sz w:val="24"/>
        </w:rPr>
      </w:pPr>
      <w:r w:rsidRPr="006A3379">
        <w:rPr>
          <w:b/>
          <w:sz w:val="24"/>
        </w:rPr>
        <w:t>Reject</w:t>
      </w:r>
      <w:r>
        <w:rPr>
          <w:sz w:val="24"/>
        </w:rPr>
        <w:t xml:space="preserve"> (18): Alabama, Alaska, Connecticut, Florida, Idaho, Kentucky, Maryland,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2CD6">
        <w:rPr>
          <w:sz w:val="24"/>
        </w:rPr>
        <w:t xml:space="preserve">Michigan, </w:t>
      </w:r>
      <w:r>
        <w:rPr>
          <w:sz w:val="24"/>
        </w:rPr>
        <w:t>Minnesota, Mississippi, Ne</w:t>
      </w:r>
      <w:r w:rsidR="00A22CD6">
        <w:rPr>
          <w:sz w:val="24"/>
        </w:rPr>
        <w:t>braska, New Hampshire,</w:t>
      </w:r>
      <w:r>
        <w:rPr>
          <w:sz w:val="24"/>
        </w:rPr>
        <w:t xml:space="preserve"> Oregon, South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Carolina, South Dakota, Tennessee, Texas and Vermont.</w:t>
      </w:r>
    </w:p>
    <w:p w:rsidR="000E3CF2" w:rsidRDefault="000E3CF2" w:rsidP="00B02177">
      <w:pPr>
        <w:ind w:firstLine="720"/>
        <w:rPr>
          <w:sz w:val="24"/>
        </w:rPr>
      </w:pPr>
      <w:r w:rsidRPr="006A3379">
        <w:rPr>
          <w:b/>
          <w:sz w:val="24"/>
        </w:rPr>
        <w:t>Not Yet Addressed</w:t>
      </w:r>
      <w:r>
        <w:rPr>
          <w:sz w:val="24"/>
        </w:rPr>
        <w:t xml:space="preserve"> (6): California, Georgia, Hawaii, North Carolina, Utah and Virginia.</w:t>
      </w:r>
    </w:p>
    <w:p w:rsidR="00B02177" w:rsidRDefault="000E3CF2" w:rsidP="00B02177">
      <w:pPr>
        <w:ind w:firstLine="720"/>
        <w:rPr>
          <w:sz w:val="24"/>
        </w:rPr>
      </w:pPr>
      <w:r w:rsidRPr="006A3379">
        <w:rPr>
          <w:b/>
          <w:sz w:val="24"/>
        </w:rPr>
        <w:t>Deferred</w:t>
      </w:r>
      <w:r>
        <w:rPr>
          <w:sz w:val="24"/>
        </w:rPr>
        <w:t xml:space="preserve"> (4): Arkansas, Colorado, Maine and Rhode Island.</w:t>
      </w:r>
    </w:p>
    <w:p w:rsidR="00B02177" w:rsidRDefault="00B02177" w:rsidP="00B02177">
      <w:pPr>
        <w:ind w:firstLine="720"/>
        <w:rPr>
          <w:sz w:val="24"/>
        </w:rPr>
      </w:pPr>
    </w:p>
    <w:p w:rsidR="00B02177" w:rsidRDefault="00B02177" w:rsidP="00B02177">
      <w:pPr>
        <w:ind w:firstLine="720"/>
        <w:rPr>
          <w:sz w:val="24"/>
        </w:rPr>
      </w:pPr>
    </w:p>
    <w:p w:rsidR="00C82B3E" w:rsidRPr="004D1073" w:rsidRDefault="00C82B3E" w:rsidP="000E3CF2">
      <w:pPr>
        <w:ind w:firstLine="720"/>
        <w:rPr>
          <w:sz w:val="24"/>
        </w:rPr>
      </w:pPr>
    </w:p>
    <w:sectPr w:rsidR="00C82B3E" w:rsidRPr="004D1073" w:rsidSect="001F56AE"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45" w:rsidRDefault="00874C45" w:rsidP="00E14A7F">
      <w:pPr>
        <w:spacing w:after="0" w:line="240" w:lineRule="auto"/>
      </w:pPr>
      <w:r>
        <w:separator/>
      </w:r>
    </w:p>
  </w:endnote>
  <w:endnote w:type="continuationSeparator" w:id="0">
    <w:p w:rsidR="00874C45" w:rsidRDefault="00874C45" w:rsidP="00E1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45" w:rsidRDefault="00874C45" w:rsidP="00764B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C45" w:rsidRDefault="00874C45" w:rsidP="00764B0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45" w:rsidRDefault="00874C45" w:rsidP="00764B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7717">
      <w:rPr>
        <w:rStyle w:val="PageNumber"/>
        <w:noProof/>
      </w:rPr>
      <w:t>5</w:t>
    </w:r>
    <w:r>
      <w:rPr>
        <w:rStyle w:val="PageNumber"/>
      </w:rPr>
      <w:fldChar w:fldCharType="end"/>
    </w:r>
  </w:p>
  <w:p w:rsidR="00874C45" w:rsidRDefault="00874C45" w:rsidP="00764B07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45" w:rsidRDefault="00874C45" w:rsidP="00E14A7F">
      <w:pPr>
        <w:spacing w:after="0" w:line="240" w:lineRule="auto"/>
      </w:pPr>
      <w:r>
        <w:separator/>
      </w:r>
    </w:p>
  </w:footnote>
  <w:footnote w:type="continuationSeparator" w:id="0">
    <w:p w:rsidR="00874C45" w:rsidRDefault="00874C45" w:rsidP="00E1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A7F"/>
    <w:rsid w:val="00046816"/>
    <w:rsid w:val="000A5DC8"/>
    <w:rsid w:val="000C2316"/>
    <w:rsid w:val="000E3CF2"/>
    <w:rsid w:val="000F13DC"/>
    <w:rsid w:val="001076C4"/>
    <w:rsid w:val="0014086B"/>
    <w:rsid w:val="001723F2"/>
    <w:rsid w:val="00192357"/>
    <w:rsid w:val="00196CA5"/>
    <w:rsid w:val="001D3BE1"/>
    <w:rsid w:val="001E656A"/>
    <w:rsid w:val="001F56AE"/>
    <w:rsid w:val="002266EF"/>
    <w:rsid w:val="00227717"/>
    <w:rsid w:val="00234709"/>
    <w:rsid w:val="0023692F"/>
    <w:rsid w:val="00240B59"/>
    <w:rsid w:val="002511D3"/>
    <w:rsid w:val="00256FA8"/>
    <w:rsid w:val="00271F91"/>
    <w:rsid w:val="00295333"/>
    <w:rsid w:val="002D07BE"/>
    <w:rsid w:val="00306C25"/>
    <w:rsid w:val="0032272A"/>
    <w:rsid w:val="00330CD4"/>
    <w:rsid w:val="00337E51"/>
    <w:rsid w:val="003426F0"/>
    <w:rsid w:val="00355ED0"/>
    <w:rsid w:val="003E4E87"/>
    <w:rsid w:val="00410E0A"/>
    <w:rsid w:val="00427EF8"/>
    <w:rsid w:val="00495217"/>
    <w:rsid w:val="004A199A"/>
    <w:rsid w:val="004B76E2"/>
    <w:rsid w:val="004D1073"/>
    <w:rsid w:val="004D27A9"/>
    <w:rsid w:val="004E6497"/>
    <w:rsid w:val="005075F5"/>
    <w:rsid w:val="0052746A"/>
    <w:rsid w:val="00557F00"/>
    <w:rsid w:val="00563D01"/>
    <w:rsid w:val="00587137"/>
    <w:rsid w:val="005D68C6"/>
    <w:rsid w:val="00646A6F"/>
    <w:rsid w:val="00670FD4"/>
    <w:rsid w:val="00682CB7"/>
    <w:rsid w:val="0069250D"/>
    <w:rsid w:val="006A3379"/>
    <w:rsid w:val="006A4A15"/>
    <w:rsid w:val="006B3487"/>
    <w:rsid w:val="006C0748"/>
    <w:rsid w:val="006D72B7"/>
    <w:rsid w:val="006F72EA"/>
    <w:rsid w:val="00710085"/>
    <w:rsid w:val="00733DB8"/>
    <w:rsid w:val="00754385"/>
    <w:rsid w:val="00764B07"/>
    <w:rsid w:val="0077429E"/>
    <w:rsid w:val="00785658"/>
    <w:rsid w:val="00874C45"/>
    <w:rsid w:val="009474D0"/>
    <w:rsid w:val="00997E7D"/>
    <w:rsid w:val="009A51D5"/>
    <w:rsid w:val="009B3B8D"/>
    <w:rsid w:val="009B62DA"/>
    <w:rsid w:val="009D0212"/>
    <w:rsid w:val="009F610C"/>
    <w:rsid w:val="00A0481A"/>
    <w:rsid w:val="00A22CD6"/>
    <w:rsid w:val="00A248D9"/>
    <w:rsid w:val="00A263BD"/>
    <w:rsid w:val="00A97320"/>
    <w:rsid w:val="00AA3A39"/>
    <w:rsid w:val="00AA6EE0"/>
    <w:rsid w:val="00B02177"/>
    <w:rsid w:val="00B76FFC"/>
    <w:rsid w:val="00B773C4"/>
    <w:rsid w:val="00BA751B"/>
    <w:rsid w:val="00BE64BD"/>
    <w:rsid w:val="00C2070B"/>
    <w:rsid w:val="00C82B3E"/>
    <w:rsid w:val="00CC6C3D"/>
    <w:rsid w:val="00CD5D72"/>
    <w:rsid w:val="00CE1B35"/>
    <w:rsid w:val="00CE4B20"/>
    <w:rsid w:val="00CF2744"/>
    <w:rsid w:val="00CF47E1"/>
    <w:rsid w:val="00D0201D"/>
    <w:rsid w:val="00D616AD"/>
    <w:rsid w:val="00D83A1D"/>
    <w:rsid w:val="00DA1F2D"/>
    <w:rsid w:val="00DC5F8E"/>
    <w:rsid w:val="00DD3752"/>
    <w:rsid w:val="00DE29E5"/>
    <w:rsid w:val="00E14A7F"/>
    <w:rsid w:val="00E42C5E"/>
    <w:rsid w:val="00E60289"/>
    <w:rsid w:val="00EC7C2B"/>
    <w:rsid w:val="00ED7BAD"/>
    <w:rsid w:val="00EF187B"/>
    <w:rsid w:val="00F34E53"/>
    <w:rsid w:val="00F429FD"/>
    <w:rsid w:val="00F750BC"/>
    <w:rsid w:val="00F75A7F"/>
    <w:rsid w:val="00F85B45"/>
    <w:rsid w:val="00FA2E99"/>
    <w:rsid w:val="00FB29F3"/>
    <w:rsid w:val="00FD0DE3"/>
    <w:rsid w:val="00FE7936"/>
  </w:rsids>
  <m:mathPr>
    <m:mathFont m:val="+mn-c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F56A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14A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4A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4A7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85B45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764B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64B07"/>
  </w:style>
  <w:style w:type="character" w:styleId="PageNumber">
    <w:name w:val="page number"/>
    <w:basedOn w:val="DefaultParagraphFont"/>
    <w:rsid w:val="00764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schap@holycross.edu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793C8-ED56-974C-9BED-4D01D239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1579</Words>
  <Characters>9005</Characters>
  <Application>Microsoft Macintosh Word</Application>
  <DocSecurity>0</DocSecurity>
  <Lines>75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College of the Holy Cross</cp:lastModifiedBy>
  <cp:revision>7</cp:revision>
  <dcterms:created xsi:type="dcterms:W3CDTF">2013-12-28T20:17:00Z</dcterms:created>
  <dcterms:modified xsi:type="dcterms:W3CDTF">2013-12-28T22:26:00Z</dcterms:modified>
</cp:coreProperties>
</file>